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715D7">
      <w:pPr>
        <w:spacing w:line="800" w:lineRule="exact"/>
        <w:jc w:val="center"/>
        <w:rPr>
          <w:rFonts w:ascii="宋体" w:hAnsi="宋体"/>
          <w:b/>
          <w:color w:val="auto"/>
          <w:sz w:val="52"/>
          <w:szCs w:val="52"/>
          <w:highlight w:val="none"/>
        </w:rPr>
      </w:pPr>
    </w:p>
    <w:p w14:paraId="1644A97F">
      <w:pPr>
        <w:spacing w:line="800" w:lineRule="exact"/>
        <w:jc w:val="center"/>
        <w:rPr>
          <w:rFonts w:ascii="宋体" w:hAnsi="宋体"/>
          <w:b/>
          <w:color w:val="auto"/>
          <w:sz w:val="52"/>
          <w:szCs w:val="52"/>
          <w:highlight w:val="none"/>
        </w:rPr>
      </w:pPr>
    </w:p>
    <w:p w14:paraId="3D9E46D4">
      <w:pPr>
        <w:pStyle w:val="11"/>
        <w:spacing w:line="0" w:lineRule="atLeast"/>
        <w:jc w:val="center"/>
        <w:rPr>
          <w:rFonts w:hAnsi="宋体"/>
          <w:b/>
          <w:color w:val="auto"/>
          <w:sz w:val="36"/>
          <w:highlight w:val="none"/>
        </w:rPr>
      </w:pPr>
    </w:p>
    <w:p w14:paraId="300DD016">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网上竞价文件</w:t>
      </w:r>
    </w:p>
    <w:p w14:paraId="59EBAA96">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55AA38E8">
      <w:pPr>
        <w:pStyle w:val="11"/>
        <w:spacing w:line="0" w:lineRule="atLeast"/>
        <w:jc w:val="center"/>
        <w:rPr>
          <w:rFonts w:hAnsi="宋体"/>
          <w:b/>
          <w:color w:val="auto"/>
          <w:sz w:val="36"/>
          <w:highlight w:val="none"/>
        </w:rPr>
      </w:pPr>
    </w:p>
    <w:p w14:paraId="0F60AAEE">
      <w:pPr>
        <w:pStyle w:val="11"/>
        <w:spacing w:line="400" w:lineRule="exact"/>
        <w:rPr>
          <w:rFonts w:hAnsi="宋体"/>
          <w:b/>
          <w:color w:val="auto"/>
          <w:sz w:val="36"/>
          <w:highlight w:val="none"/>
        </w:rPr>
      </w:pPr>
    </w:p>
    <w:p w14:paraId="0D9E6CE9">
      <w:pPr>
        <w:pStyle w:val="11"/>
        <w:spacing w:line="400" w:lineRule="exact"/>
        <w:rPr>
          <w:rFonts w:hAnsi="宋体"/>
          <w:b/>
          <w:color w:val="auto"/>
          <w:sz w:val="36"/>
          <w:highlight w:val="none"/>
        </w:rPr>
      </w:pPr>
    </w:p>
    <w:p w14:paraId="3841F3ED">
      <w:pPr>
        <w:pStyle w:val="11"/>
        <w:spacing w:line="640" w:lineRule="exact"/>
        <w:ind w:firstLine="0" w:firstLineChars="0"/>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FJJF2025SZ012</w:t>
      </w:r>
    </w:p>
    <w:p w14:paraId="3B092C78">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学术交流中心餐饮部经营权出租项目</w:t>
      </w:r>
    </w:p>
    <w:p w14:paraId="5D425CE9">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lang w:eastAsia="zh-CN"/>
        </w:rPr>
        <w:t>招标</w:t>
      </w:r>
      <w:r>
        <w:rPr>
          <w:rFonts w:hint="eastAsia" w:hAnsi="宋体"/>
          <w:b/>
          <w:color w:val="auto"/>
          <w:sz w:val="32"/>
          <w:szCs w:val="32"/>
          <w:highlight w:val="none"/>
        </w:rPr>
        <w:t>人：</w:t>
      </w:r>
      <w:r>
        <w:rPr>
          <w:rFonts w:hint="eastAsia" w:hAnsi="宋体"/>
          <w:b/>
          <w:color w:val="auto"/>
          <w:sz w:val="32"/>
          <w:szCs w:val="32"/>
          <w:highlight w:val="none"/>
          <w:lang w:eastAsia="zh-CN"/>
        </w:rPr>
        <w:t>福建农大科技开发有限公司</w:t>
      </w:r>
      <w:r>
        <w:rPr>
          <w:rFonts w:hint="eastAsia" w:hAnsi="宋体"/>
          <w:b/>
          <w:color w:val="auto"/>
          <w:sz w:val="32"/>
          <w:szCs w:val="32"/>
          <w:highlight w:val="none"/>
        </w:rPr>
        <w:t xml:space="preserve">  </w:t>
      </w:r>
    </w:p>
    <w:p w14:paraId="013A8644">
      <w:pPr>
        <w:spacing w:line="500" w:lineRule="exact"/>
        <w:rPr>
          <w:rFonts w:ascii="宋体" w:hAnsi="宋体"/>
          <w:b/>
          <w:color w:val="auto"/>
          <w:sz w:val="48"/>
          <w:highlight w:val="none"/>
        </w:rPr>
      </w:pPr>
    </w:p>
    <w:p w14:paraId="6648BF30">
      <w:pPr>
        <w:spacing w:line="500" w:lineRule="exact"/>
        <w:jc w:val="right"/>
        <w:rPr>
          <w:rFonts w:ascii="宋体" w:hAnsi="宋体"/>
          <w:b/>
          <w:color w:val="auto"/>
          <w:sz w:val="48"/>
          <w:highlight w:val="none"/>
        </w:rPr>
      </w:pPr>
    </w:p>
    <w:p w14:paraId="63576941">
      <w:pPr>
        <w:spacing w:line="500" w:lineRule="exact"/>
        <w:jc w:val="center"/>
        <w:rPr>
          <w:rFonts w:hint="eastAsia" w:ascii="宋体" w:hAnsi="宋体"/>
          <w:b/>
          <w:color w:val="auto"/>
          <w:sz w:val="32"/>
          <w:szCs w:val="32"/>
          <w:highlight w:val="none"/>
          <w:lang w:eastAsia="zh-CN"/>
        </w:rPr>
      </w:pPr>
    </w:p>
    <w:p w14:paraId="317E6A58">
      <w:pPr>
        <w:spacing w:line="500" w:lineRule="exact"/>
        <w:jc w:val="center"/>
        <w:rPr>
          <w:rFonts w:hint="eastAsia" w:ascii="宋体" w:hAnsi="宋体"/>
          <w:b/>
          <w:color w:val="auto"/>
          <w:sz w:val="32"/>
          <w:szCs w:val="32"/>
          <w:highlight w:val="none"/>
          <w:lang w:eastAsia="zh-CN"/>
        </w:rPr>
      </w:pPr>
    </w:p>
    <w:p w14:paraId="6BC1CA84">
      <w:pPr>
        <w:spacing w:line="500" w:lineRule="exact"/>
        <w:jc w:val="center"/>
        <w:rPr>
          <w:rFonts w:hint="eastAsia" w:ascii="宋体" w:hAnsi="宋体"/>
          <w:b/>
          <w:color w:val="auto"/>
          <w:sz w:val="32"/>
          <w:szCs w:val="32"/>
          <w:highlight w:val="none"/>
          <w:lang w:eastAsia="zh-CN"/>
        </w:rPr>
      </w:pPr>
    </w:p>
    <w:p w14:paraId="0FCD5067">
      <w:pPr>
        <w:spacing w:line="500" w:lineRule="exact"/>
        <w:jc w:val="center"/>
        <w:rPr>
          <w:rFonts w:hint="eastAsia" w:ascii="宋体" w:hAnsi="宋体"/>
          <w:b/>
          <w:color w:val="auto"/>
          <w:sz w:val="32"/>
          <w:szCs w:val="32"/>
          <w:highlight w:val="none"/>
          <w:lang w:eastAsia="zh-CN"/>
        </w:rPr>
      </w:pPr>
    </w:p>
    <w:p w14:paraId="30F79FAF">
      <w:pPr>
        <w:spacing w:line="500" w:lineRule="exact"/>
        <w:jc w:val="center"/>
        <w:rPr>
          <w:rFonts w:hint="eastAsia" w:ascii="宋体" w:hAnsi="宋体"/>
          <w:b/>
          <w:color w:val="auto"/>
          <w:sz w:val="32"/>
          <w:szCs w:val="32"/>
          <w:highlight w:val="none"/>
          <w:lang w:eastAsia="zh-CN"/>
        </w:rPr>
      </w:pPr>
    </w:p>
    <w:p w14:paraId="7B99C9AD">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A192BB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13EA2994">
      <w:pPr>
        <w:spacing w:line="500" w:lineRule="exact"/>
        <w:rPr>
          <w:rFonts w:ascii="宋体" w:hAnsi="宋体"/>
          <w:b/>
          <w:color w:val="auto"/>
          <w:sz w:val="48"/>
          <w:highlight w:val="none"/>
          <w:u w:val="single"/>
        </w:rPr>
      </w:pPr>
    </w:p>
    <w:p w14:paraId="6E2F54F7">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3B04E2E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776DF89D">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32860BB7">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0424E49E">
      <w:pPr>
        <w:spacing w:line="400" w:lineRule="exact"/>
        <w:rPr>
          <w:rFonts w:ascii="宋体" w:hAnsi="宋体"/>
          <w:b/>
          <w:color w:val="auto"/>
          <w:highlight w:val="none"/>
        </w:rPr>
      </w:pPr>
      <w:r>
        <w:rPr>
          <w:rFonts w:hint="eastAsia" w:ascii="宋体" w:hAnsi="宋体"/>
          <w:b/>
          <w:color w:val="auto"/>
          <w:highlight w:val="none"/>
        </w:rPr>
        <w:t>网    址：Http: //www.fjjfjt.com</w:t>
      </w:r>
    </w:p>
    <w:p w14:paraId="46C49833">
      <w:pPr>
        <w:jc w:val="left"/>
        <w:rPr>
          <w:rFonts w:ascii="宋体" w:hAnsi="宋体"/>
          <w:color w:val="auto"/>
          <w:highlight w:val="none"/>
        </w:rPr>
      </w:pPr>
      <w:r>
        <w:rPr>
          <w:rFonts w:ascii="宋体" w:hAnsi="宋体"/>
          <w:color w:val="auto"/>
          <w:highlight w:val="none"/>
        </w:rPr>
        <w:br w:type="page"/>
      </w:r>
    </w:p>
    <w:p w14:paraId="0FE374AD">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E119D2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项目进行网上竞价。</w:t>
      </w:r>
    </w:p>
    <w:p w14:paraId="45CB6C7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val="en-US" w:eastAsia="zh-CN"/>
        </w:rPr>
        <w:t>FJJF2025SZ012</w:t>
      </w:r>
    </w:p>
    <w:p w14:paraId="7EA34777">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学术交流中心餐饮部经营权出租项目</w:t>
      </w:r>
    </w:p>
    <w:p w14:paraId="56CE759D">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3、竞价标的名称、要求等详见“</w:t>
      </w:r>
      <w:r>
        <w:rPr>
          <w:rFonts w:hint="eastAsia" w:ascii="宋体" w:hAnsi="宋体"/>
          <w:color w:val="auto"/>
          <w:sz w:val="24"/>
          <w:szCs w:val="24"/>
          <w:highlight w:val="none"/>
          <w:lang w:eastAsia="zh-CN"/>
        </w:rPr>
        <w:t>竞价说明一览表</w:t>
      </w:r>
      <w:r>
        <w:rPr>
          <w:rFonts w:hint="eastAsia" w:ascii="宋体" w:hAnsi="宋体"/>
          <w:color w:val="auto"/>
          <w:sz w:val="24"/>
          <w:szCs w:val="24"/>
          <w:highlight w:val="none"/>
        </w:rPr>
        <w:t xml:space="preserve">”。 </w:t>
      </w:r>
    </w:p>
    <w:p w14:paraId="2307F30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bookmarkStart w:id="1" w:name="_GoBack"/>
      <w:bookmarkEnd w:id="1"/>
    </w:p>
    <w:p w14:paraId="5B71FC7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p>
    <w:p w14:paraId="0F02B16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default"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7A2A610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2C5A52B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日09:00:00</w:t>
      </w:r>
    </w:p>
    <w:p w14:paraId="3C8D1B20">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日11:00:00</w:t>
      </w:r>
    </w:p>
    <w:p w14:paraId="21D27AF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53291F2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lang w:eastAsia="zh-CN"/>
        </w:rPr>
        <w:t>福建省国资采购平台</w:t>
      </w:r>
      <w:r>
        <w:rPr>
          <w:rFonts w:hint="eastAsia" w:ascii="宋体" w:hAnsi="宋体"/>
          <w:color w:val="auto"/>
          <w:sz w:val="24"/>
          <w:szCs w:val="24"/>
          <w:highlight w:val="none"/>
        </w:rPr>
        <w:t>（https://ygcg.fjcqjy.com</w:t>
      </w:r>
      <w:r>
        <w:rPr>
          <w:rFonts w:hint="eastAsia" w:ascii="宋体" w:hAnsi="宋体"/>
          <w:color w:val="auto"/>
          <w:sz w:val="24"/>
          <w:szCs w:val="24"/>
          <w:highlight w:val="none"/>
          <w:lang w:eastAsia="zh-CN"/>
        </w:rPr>
        <w:t>）</w:t>
      </w:r>
      <w:r>
        <w:rPr>
          <w:rFonts w:hint="eastAsia" w:ascii="宋体" w:hAnsi="宋体"/>
          <w:color w:val="auto"/>
          <w:sz w:val="24"/>
          <w:szCs w:val="24"/>
          <w:highlight w:val="none"/>
        </w:rPr>
        <w:t>、福建省金丰招标代理有限公司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http://www.fjjfjt.com</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上公布，请潜在竞价人随时关注相关网站，以免错漏重要信息。</w:t>
      </w:r>
    </w:p>
    <w:p w14:paraId="156907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公告附件中获取。</w:t>
      </w:r>
    </w:p>
    <w:p w14:paraId="635D147C">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D5F92C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人联系方式</w:t>
      </w:r>
    </w:p>
    <w:p w14:paraId="2BA537A6">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人名称：</w:t>
      </w:r>
      <w:r>
        <w:rPr>
          <w:rFonts w:hint="eastAsia" w:ascii="宋体" w:hAnsi="宋体"/>
          <w:color w:val="auto"/>
          <w:sz w:val="24"/>
          <w:szCs w:val="24"/>
          <w:highlight w:val="none"/>
          <w:lang w:eastAsia="zh-CN"/>
        </w:rPr>
        <w:t>福建农大科技开发有限公司</w:t>
      </w:r>
    </w:p>
    <w:p w14:paraId="0065556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57D389E7">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戴老师</w:t>
      </w:r>
    </w:p>
    <w:p w14:paraId="10314597">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18650071331</w:t>
      </w:r>
    </w:p>
    <w:p w14:paraId="1AB821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代理机构名称：</w:t>
      </w:r>
      <w:r>
        <w:rPr>
          <w:rFonts w:hint="eastAsia" w:ascii="宋体" w:hAnsi="宋体" w:cs="Arial"/>
          <w:color w:val="auto"/>
          <w:kern w:val="0"/>
          <w:sz w:val="24"/>
          <w:highlight w:val="none"/>
        </w:rPr>
        <w:t>福建省金丰招标代理有限公司</w:t>
      </w:r>
    </w:p>
    <w:p w14:paraId="2DDC6DF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481B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639D2F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66510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3E0D0F6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5D2C7B9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w:t>
      </w:r>
      <w:r>
        <w:rPr>
          <w:rFonts w:hint="eastAsia" w:ascii="宋体" w:hAnsi="宋体"/>
          <w:color w:val="auto"/>
          <w:sz w:val="24"/>
          <w:szCs w:val="24"/>
          <w:highlight w:val="none"/>
          <w:lang w:val="en-US" w:eastAsia="zh-CN"/>
        </w:rPr>
        <w:t>竞价人</w:t>
      </w:r>
      <w:r>
        <w:rPr>
          <w:rFonts w:hint="eastAsia" w:ascii="宋体" w:hAnsi="宋体"/>
          <w:color w:val="auto"/>
          <w:sz w:val="24"/>
          <w:szCs w:val="24"/>
          <w:highlight w:val="none"/>
        </w:rPr>
        <w:t>登录【福建省金丰招标代理有限公司网站（http://www.fjjfjt.com</w:t>
      </w:r>
      <w:r>
        <w:rPr>
          <w:rFonts w:hint="eastAsia" w:ascii="宋体" w:hAnsi="宋体"/>
          <w:color w:val="auto"/>
          <w:sz w:val="24"/>
          <w:szCs w:val="24"/>
          <w:highlight w:val="none"/>
          <w:lang w:eastAsia="zh-CN"/>
        </w:rPr>
        <w:t>）</w:t>
      </w:r>
      <w:r>
        <w:rPr>
          <w:rFonts w:hint="eastAsia" w:ascii="宋体" w:hAnsi="宋体"/>
          <w:color w:val="auto"/>
          <w:sz w:val="24"/>
          <w:szCs w:val="24"/>
          <w:highlight w:val="none"/>
        </w:rPr>
        <w:t>】首页进行供应商注册；</w:t>
      </w:r>
    </w:p>
    <w:p w14:paraId="4A473FD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w:t>
      </w:r>
      <w:r>
        <w:rPr>
          <w:rFonts w:hint="eastAsia" w:ascii="宋体" w:hAnsi="宋体"/>
          <w:color w:val="auto"/>
          <w:sz w:val="24"/>
          <w:szCs w:val="24"/>
          <w:highlight w:val="none"/>
          <w:lang w:eastAsia="zh-CN"/>
        </w:rPr>
        <w:t>竞价人</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审核</w:t>
      </w:r>
      <w:r>
        <w:rPr>
          <w:rFonts w:hint="eastAsia" w:ascii="宋体" w:hAnsi="宋体"/>
          <w:color w:val="auto"/>
          <w:sz w:val="24"/>
          <w:szCs w:val="24"/>
          <w:highlight w:val="none"/>
        </w:rPr>
        <w:t>通过后，</w:t>
      </w:r>
      <w:r>
        <w:rPr>
          <w:rFonts w:hint="eastAsia" w:ascii="宋体" w:hAnsi="宋体"/>
          <w:color w:val="auto"/>
          <w:sz w:val="24"/>
          <w:szCs w:val="24"/>
          <w:highlight w:val="none"/>
          <w:lang w:eastAsia="zh-CN"/>
        </w:rPr>
        <w:t>竞价人</w:t>
      </w:r>
      <w:r>
        <w:rPr>
          <w:rFonts w:hint="eastAsia" w:ascii="宋体" w:hAnsi="宋体"/>
          <w:color w:val="auto"/>
          <w:sz w:val="24"/>
          <w:szCs w:val="24"/>
          <w:highlight w:val="none"/>
        </w:rPr>
        <w:t>应登录</w:t>
      </w:r>
      <w:r>
        <w:rPr>
          <w:rFonts w:hint="eastAsia" w:ascii="宋体" w:hAnsi="宋体"/>
          <w:color w:val="auto"/>
          <w:sz w:val="24"/>
          <w:szCs w:val="24"/>
          <w:highlight w:val="none"/>
          <w:lang w:eastAsia="zh-CN"/>
        </w:rPr>
        <w:t>竞价人</w:t>
      </w:r>
      <w:r>
        <w:rPr>
          <w:rFonts w:hint="eastAsia" w:ascii="宋体" w:hAnsi="宋体"/>
          <w:color w:val="auto"/>
          <w:sz w:val="24"/>
          <w:szCs w:val="24"/>
          <w:highlight w:val="none"/>
        </w:rPr>
        <w:t>后台进行项目报名，否则竞价将被拒绝。</w:t>
      </w:r>
    </w:p>
    <w:p w14:paraId="2D80CA23">
      <w:pPr>
        <w:spacing w:line="440" w:lineRule="exact"/>
        <w:ind w:firstLine="480" w:firstLineChars="200"/>
        <w:rPr>
          <w:rFonts w:ascii="宋体" w:hAnsi="宋体"/>
          <w:color w:val="auto"/>
          <w:sz w:val="24"/>
          <w:szCs w:val="24"/>
          <w:highlight w:val="none"/>
        </w:rPr>
      </w:pPr>
    </w:p>
    <w:p w14:paraId="1836E9D2">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647FD4B8">
      <w:pPr>
        <w:jc w:val="center"/>
        <w:rPr>
          <w:rFonts w:ascii="宋体" w:hAnsi="宋体"/>
          <w:color w:val="auto"/>
          <w:sz w:val="24"/>
          <w:szCs w:val="32"/>
          <w:highlight w:val="none"/>
        </w:rPr>
      </w:pPr>
      <w:r>
        <w:rPr>
          <w:rFonts w:hint="eastAsia" w:ascii="宋体" w:hAnsi="宋体"/>
          <w:b/>
          <w:color w:val="auto"/>
          <w:sz w:val="28"/>
          <w:szCs w:val="28"/>
          <w:highlight w:val="none"/>
        </w:rPr>
        <w:t>第二章  竞价说明一览表</w:t>
      </w:r>
    </w:p>
    <w:tbl>
      <w:tblPr>
        <w:tblStyle w:val="23"/>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07"/>
        <w:gridCol w:w="1908"/>
        <w:gridCol w:w="1156"/>
        <w:gridCol w:w="914"/>
        <w:gridCol w:w="1354"/>
        <w:gridCol w:w="1328"/>
        <w:gridCol w:w="837"/>
        <w:gridCol w:w="763"/>
      </w:tblGrid>
      <w:tr w14:paraId="0115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367" w:type="dxa"/>
            <w:vAlign w:val="center"/>
          </w:tcPr>
          <w:p w14:paraId="1B6A3483">
            <w:pPr>
              <w:pStyle w:val="57"/>
              <w:widowControl w:val="0"/>
              <w:adjustRightInd w:val="0"/>
              <w:spacing w:before="0" w:beforeAutospacing="0" w:after="0" w:afterAutospacing="0" w:line="320" w:lineRule="exact"/>
              <w:textAlignment w:val="baseline"/>
              <w:rPr>
                <w:rFonts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kern w:val="2"/>
                <w:sz w:val="21"/>
                <w:szCs w:val="21"/>
                <w:highlight w:val="none"/>
              </w:rPr>
              <w:t>合同包</w:t>
            </w:r>
          </w:p>
        </w:tc>
        <w:tc>
          <w:tcPr>
            <w:tcW w:w="607" w:type="dxa"/>
            <w:vAlign w:val="center"/>
          </w:tcPr>
          <w:p w14:paraId="0150EC04">
            <w:pPr>
              <w:spacing w:line="32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eastAsiaTheme="minorEastAsia"/>
                <w:b/>
                <w:color w:val="auto"/>
                <w:szCs w:val="21"/>
                <w:highlight w:val="none"/>
                <w:lang w:val="en-US" w:eastAsia="zh-CN"/>
              </w:rPr>
              <w:t>品目号</w:t>
            </w:r>
          </w:p>
        </w:tc>
        <w:tc>
          <w:tcPr>
            <w:tcW w:w="1908" w:type="dxa"/>
            <w:vAlign w:val="center"/>
          </w:tcPr>
          <w:p w14:paraId="3AACAE2B">
            <w:pPr>
              <w:spacing w:line="320" w:lineRule="exact"/>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szCs w:val="21"/>
                <w:highlight w:val="none"/>
                <w:lang w:val="en-US" w:eastAsia="zh-CN"/>
              </w:rPr>
              <w:t>标的</w:t>
            </w:r>
            <w:r>
              <w:rPr>
                <w:rFonts w:hint="eastAsia" w:cs="宋体" w:asciiTheme="minorEastAsia" w:hAnsiTheme="minorEastAsia" w:eastAsiaTheme="minorEastAsia"/>
                <w:b/>
                <w:color w:val="auto"/>
                <w:szCs w:val="21"/>
                <w:highlight w:val="none"/>
              </w:rPr>
              <w:t>资产名称</w:t>
            </w:r>
          </w:p>
        </w:tc>
        <w:tc>
          <w:tcPr>
            <w:tcW w:w="1156" w:type="dxa"/>
            <w:vAlign w:val="center"/>
          </w:tcPr>
          <w:p w14:paraId="4A3447EF">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坐落</w:t>
            </w:r>
            <w:r>
              <w:rPr>
                <w:rFonts w:hint="eastAsia" w:cs="宋体" w:asciiTheme="minorEastAsia" w:hAnsiTheme="minorEastAsia" w:eastAsiaTheme="minorEastAsia"/>
                <w:b/>
                <w:color w:val="auto"/>
                <w:szCs w:val="21"/>
                <w:highlight w:val="none"/>
              </w:rPr>
              <w:t>地址</w:t>
            </w:r>
          </w:p>
        </w:tc>
        <w:tc>
          <w:tcPr>
            <w:tcW w:w="914" w:type="dxa"/>
            <w:vAlign w:val="center"/>
          </w:tcPr>
          <w:p w14:paraId="6C998A8F">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val="en-US" w:eastAsia="zh-CN"/>
              </w:rPr>
              <w:t>建筑</w:t>
            </w:r>
            <w:r>
              <w:rPr>
                <w:rFonts w:hint="eastAsia" w:cs="宋体" w:asciiTheme="minorEastAsia" w:hAnsiTheme="minorEastAsia" w:eastAsiaTheme="minorEastAsia"/>
                <w:b/>
                <w:color w:val="auto"/>
                <w:szCs w:val="21"/>
                <w:highlight w:val="none"/>
              </w:rPr>
              <w:t>面积（</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w:t>
            </w:r>
          </w:p>
        </w:tc>
        <w:tc>
          <w:tcPr>
            <w:tcW w:w="1354" w:type="dxa"/>
            <w:vAlign w:val="center"/>
          </w:tcPr>
          <w:p w14:paraId="4CDCA534">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val="en-US" w:eastAsia="zh-CN"/>
              </w:rPr>
              <w:t>租赁</w:t>
            </w:r>
            <w:r>
              <w:rPr>
                <w:rFonts w:hint="eastAsia" w:cs="宋体" w:asciiTheme="minorEastAsia" w:hAnsiTheme="minorEastAsia" w:eastAsiaTheme="minorEastAsia"/>
                <w:b/>
                <w:color w:val="auto"/>
                <w:szCs w:val="21"/>
                <w:highlight w:val="none"/>
              </w:rPr>
              <w:t>期限（年）</w:t>
            </w:r>
          </w:p>
        </w:tc>
        <w:tc>
          <w:tcPr>
            <w:tcW w:w="1328" w:type="dxa"/>
            <w:vAlign w:val="center"/>
          </w:tcPr>
          <w:p w14:paraId="1DFFAF70">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年最低限价</w:t>
            </w:r>
          </w:p>
        </w:tc>
        <w:tc>
          <w:tcPr>
            <w:tcW w:w="837" w:type="dxa"/>
            <w:vAlign w:val="center"/>
          </w:tcPr>
          <w:p w14:paraId="03CBA1DC">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限制用途</w:t>
            </w:r>
          </w:p>
        </w:tc>
        <w:tc>
          <w:tcPr>
            <w:tcW w:w="763" w:type="dxa"/>
            <w:vAlign w:val="center"/>
          </w:tcPr>
          <w:p w14:paraId="3629B246">
            <w:pPr>
              <w:spacing w:line="32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保证金</w:t>
            </w:r>
          </w:p>
        </w:tc>
      </w:tr>
      <w:tr w14:paraId="3813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exact"/>
        </w:trPr>
        <w:tc>
          <w:tcPr>
            <w:tcW w:w="367" w:type="dxa"/>
            <w:vMerge w:val="restart"/>
            <w:vAlign w:val="center"/>
          </w:tcPr>
          <w:p w14:paraId="76CC60AF">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607" w:type="dxa"/>
            <w:vAlign w:val="center"/>
          </w:tcPr>
          <w:p w14:paraId="6D4A5DC1">
            <w:pPr>
              <w:spacing w:line="320" w:lineRule="exact"/>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1-1</w:t>
            </w:r>
          </w:p>
        </w:tc>
        <w:tc>
          <w:tcPr>
            <w:tcW w:w="1908" w:type="dxa"/>
            <w:vAlign w:val="center"/>
          </w:tcPr>
          <w:p w14:paraId="7D7B6FF8">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一层餐饮部</w:t>
            </w:r>
          </w:p>
        </w:tc>
        <w:tc>
          <w:tcPr>
            <w:tcW w:w="1156" w:type="dxa"/>
            <w:vMerge w:val="restart"/>
            <w:vAlign w:val="center"/>
          </w:tcPr>
          <w:p w14:paraId="78742201">
            <w:pPr>
              <w:spacing w:line="320" w:lineRule="exact"/>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福州市仓山区上下店路15号福建农林大学学术交流中心</w:t>
            </w:r>
          </w:p>
        </w:tc>
        <w:tc>
          <w:tcPr>
            <w:tcW w:w="914" w:type="dxa"/>
            <w:vAlign w:val="center"/>
          </w:tcPr>
          <w:p w14:paraId="27139265">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约820㎡</w:t>
            </w:r>
          </w:p>
        </w:tc>
        <w:tc>
          <w:tcPr>
            <w:tcW w:w="1354" w:type="dxa"/>
            <w:vMerge w:val="restart"/>
            <w:vAlign w:val="center"/>
          </w:tcPr>
          <w:p w14:paraId="7277BC14">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租期为5年，给予</w:t>
            </w:r>
            <w:r>
              <w:rPr>
                <w:rFonts w:hint="eastAsia" w:cs="宋体" w:asciiTheme="minorEastAsia" w:hAnsiTheme="minorEastAsia" w:eastAsiaTheme="minorEastAsia"/>
                <w:color w:val="auto"/>
                <w:szCs w:val="21"/>
                <w:highlight w:val="none"/>
                <w:lang w:val="en-US" w:eastAsia="zh-CN"/>
              </w:rPr>
              <w:t>成交</w:t>
            </w:r>
            <w:r>
              <w:rPr>
                <w:rFonts w:hint="eastAsia" w:cs="宋体" w:asciiTheme="minorEastAsia" w:hAnsiTheme="minorEastAsia" w:eastAsiaTheme="minorEastAsia"/>
                <w:color w:val="auto"/>
                <w:szCs w:val="21"/>
                <w:highlight w:val="none"/>
              </w:rPr>
              <w:t>方2个月免租装修期（自交付场地之日起算）。第四、第五年在第三年租金基础上</w:t>
            </w:r>
            <w:r>
              <w:rPr>
                <w:rFonts w:hint="eastAsia" w:cs="宋体" w:asciiTheme="minorEastAsia" w:hAnsiTheme="minorEastAsia" w:eastAsiaTheme="minorEastAsia"/>
                <w:color w:val="auto"/>
                <w:szCs w:val="21"/>
                <w:highlight w:val="none"/>
                <w:lang w:val="en-US" w:eastAsia="zh-CN"/>
              </w:rPr>
              <w:t>增加</w:t>
            </w:r>
            <w:r>
              <w:rPr>
                <w:rFonts w:hint="eastAsia" w:cs="宋体" w:asciiTheme="minorEastAsia" w:hAnsiTheme="minorEastAsia" w:eastAsiaTheme="minorEastAsia"/>
                <w:color w:val="auto"/>
                <w:szCs w:val="21"/>
                <w:highlight w:val="none"/>
              </w:rPr>
              <w:t>5%。</w:t>
            </w:r>
          </w:p>
        </w:tc>
        <w:tc>
          <w:tcPr>
            <w:tcW w:w="1328" w:type="dxa"/>
            <w:vMerge w:val="restart"/>
            <w:vAlign w:val="center"/>
          </w:tcPr>
          <w:p w14:paraId="4FC330FC">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 w:val="21"/>
                <w:szCs w:val="21"/>
                <w:highlight w:val="none"/>
                <w:u w:val="none"/>
                <w:lang w:val="en-US" w:eastAsia="zh-CN"/>
              </w:rPr>
              <w:t>20万元/年</w:t>
            </w:r>
          </w:p>
        </w:tc>
        <w:tc>
          <w:tcPr>
            <w:tcW w:w="837" w:type="dxa"/>
            <w:vAlign w:val="center"/>
          </w:tcPr>
          <w:p w14:paraId="428C3A73">
            <w:pPr>
              <w:spacing w:line="320" w:lineRule="exact"/>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餐饮</w:t>
            </w:r>
            <w:r>
              <w:rPr>
                <w:rFonts w:hint="eastAsia" w:cs="宋体" w:asciiTheme="minorEastAsia" w:hAnsiTheme="minorEastAsia" w:eastAsiaTheme="minorEastAsia"/>
                <w:color w:val="auto"/>
                <w:szCs w:val="21"/>
                <w:highlight w:val="none"/>
                <w:lang w:val="en-US" w:eastAsia="zh-CN"/>
              </w:rPr>
              <w:t>服务</w:t>
            </w:r>
          </w:p>
        </w:tc>
        <w:tc>
          <w:tcPr>
            <w:tcW w:w="763" w:type="dxa"/>
            <w:vMerge w:val="restart"/>
            <w:vAlign w:val="center"/>
          </w:tcPr>
          <w:p w14:paraId="1E5F4E65">
            <w:pPr>
              <w:spacing w:line="320" w:lineRule="exact"/>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2万元</w:t>
            </w:r>
          </w:p>
        </w:tc>
      </w:tr>
      <w:tr w14:paraId="2D1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trPr>
        <w:tc>
          <w:tcPr>
            <w:tcW w:w="367" w:type="dxa"/>
            <w:vMerge w:val="continue"/>
            <w:vAlign w:val="center"/>
          </w:tcPr>
          <w:p w14:paraId="1810342F">
            <w:pPr>
              <w:spacing w:line="320" w:lineRule="exact"/>
              <w:jc w:val="center"/>
              <w:rPr>
                <w:rFonts w:cs="宋体" w:asciiTheme="minorEastAsia" w:hAnsiTheme="minorEastAsia" w:eastAsiaTheme="minorEastAsia"/>
                <w:color w:val="auto"/>
                <w:szCs w:val="21"/>
                <w:highlight w:val="none"/>
              </w:rPr>
            </w:pPr>
          </w:p>
        </w:tc>
        <w:tc>
          <w:tcPr>
            <w:tcW w:w="607" w:type="dxa"/>
            <w:vAlign w:val="center"/>
          </w:tcPr>
          <w:p w14:paraId="2EAC2FE5">
            <w:pPr>
              <w:spacing w:line="320" w:lineRule="exact"/>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w:t>
            </w:r>
          </w:p>
        </w:tc>
        <w:tc>
          <w:tcPr>
            <w:tcW w:w="1908" w:type="dxa"/>
            <w:vAlign w:val="center"/>
          </w:tcPr>
          <w:p w14:paraId="3EBAE759">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二层3个包间</w:t>
            </w:r>
          </w:p>
        </w:tc>
        <w:tc>
          <w:tcPr>
            <w:tcW w:w="1156" w:type="dxa"/>
            <w:vMerge w:val="continue"/>
            <w:vAlign w:val="center"/>
          </w:tcPr>
          <w:p w14:paraId="098CEFE0">
            <w:pPr>
              <w:spacing w:line="320" w:lineRule="exact"/>
              <w:jc w:val="center"/>
              <w:rPr>
                <w:rFonts w:cs="宋体" w:asciiTheme="minorEastAsia" w:hAnsiTheme="minorEastAsia" w:eastAsiaTheme="minorEastAsia"/>
                <w:color w:val="auto"/>
                <w:szCs w:val="21"/>
                <w:highlight w:val="none"/>
              </w:rPr>
            </w:pPr>
          </w:p>
        </w:tc>
        <w:tc>
          <w:tcPr>
            <w:tcW w:w="914" w:type="dxa"/>
            <w:vAlign w:val="center"/>
          </w:tcPr>
          <w:p w14:paraId="358DD07A">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约</w:t>
            </w:r>
            <w:r>
              <w:rPr>
                <w:rFonts w:hint="eastAsia" w:cs="宋体" w:asciiTheme="minorEastAsia" w:hAnsiTheme="minorEastAsia" w:eastAsiaTheme="minorEastAsia"/>
                <w:color w:val="auto"/>
                <w:szCs w:val="21"/>
                <w:highlight w:val="none"/>
              </w:rPr>
              <w:t>160㎡</w:t>
            </w:r>
          </w:p>
        </w:tc>
        <w:tc>
          <w:tcPr>
            <w:tcW w:w="1354" w:type="dxa"/>
            <w:vMerge w:val="continue"/>
            <w:vAlign w:val="center"/>
          </w:tcPr>
          <w:p w14:paraId="1F89F81C">
            <w:pPr>
              <w:spacing w:line="320" w:lineRule="exact"/>
              <w:jc w:val="center"/>
              <w:rPr>
                <w:rFonts w:cs="宋体" w:asciiTheme="minorEastAsia" w:hAnsiTheme="minorEastAsia" w:eastAsiaTheme="minorEastAsia"/>
                <w:color w:val="auto"/>
                <w:szCs w:val="21"/>
                <w:highlight w:val="none"/>
              </w:rPr>
            </w:pPr>
          </w:p>
        </w:tc>
        <w:tc>
          <w:tcPr>
            <w:tcW w:w="1328" w:type="dxa"/>
            <w:vMerge w:val="continue"/>
            <w:vAlign w:val="center"/>
          </w:tcPr>
          <w:p w14:paraId="55640F94">
            <w:pPr>
              <w:spacing w:line="320" w:lineRule="exact"/>
              <w:jc w:val="center"/>
              <w:rPr>
                <w:rFonts w:cs="宋体" w:asciiTheme="minorEastAsia" w:hAnsiTheme="minorEastAsia" w:eastAsiaTheme="minorEastAsia"/>
                <w:color w:val="auto"/>
                <w:szCs w:val="21"/>
                <w:highlight w:val="none"/>
              </w:rPr>
            </w:pPr>
          </w:p>
        </w:tc>
        <w:tc>
          <w:tcPr>
            <w:tcW w:w="837" w:type="dxa"/>
            <w:vAlign w:val="center"/>
          </w:tcPr>
          <w:p w14:paraId="2649BEC1">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餐饮</w:t>
            </w:r>
            <w:r>
              <w:rPr>
                <w:rFonts w:hint="eastAsia" w:cs="宋体" w:asciiTheme="minorEastAsia" w:hAnsiTheme="minorEastAsia" w:eastAsiaTheme="minorEastAsia"/>
                <w:color w:val="auto"/>
                <w:szCs w:val="21"/>
                <w:highlight w:val="none"/>
                <w:lang w:val="en-US" w:eastAsia="zh-CN"/>
              </w:rPr>
              <w:t>服务</w:t>
            </w:r>
          </w:p>
        </w:tc>
        <w:tc>
          <w:tcPr>
            <w:tcW w:w="763" w:type="dxa"/>
            <w:vMerge w:val="continue"/>
            <w:vAlign w:val="center"/>
          </w:tcPr>
          <w:p w14:paraId="03063A74">
            <w:pPr>
              <w:spacing w:line="320" w:lineRule="exact"/>
              <w:jc w:val="center"/>
              <w:rPr>
                <w:rFonts w:cs="宋体" w:asciiTheme="minorEastAsia" w:hAnsiTheme="minorEastAsia" w:eastAsiaTheme="minorEastAsia"/>
                <w:color w:val="auto"/>
                <w:szCs w:val="21"/>
                <w:highlight w:val="none"/>
              </w:rPr>
            </w:pPr>
          </w:p>
        </w:tc>
      </w:tr>
      <w:tr w14:paraId="34EF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exact"/>
        </w:trPr>
        <w:tc>
          <w:tcPr>
            <w:tcW w:w="367" w:type="dxa"/>
            <w:vMerge w:val="continue"/>
            <w:vAlign w:val="center"/>
          </w:tcPr>
          <w:p w14:paraId="333F8207">
            <w:pPr>
              <w:spacing w:line="320" w:lineRule="exact"/>
              <w:jc w:val="center"/>
              <w:rPr>
                <w:rFonts w:cs="宋体" w:asciiTheme="minorEastAsia" w:hAnsiTheme="minorEastAsia" w:eastAsiaTheme="minorEastAsia"/>
                <w:color w:val="auto"/>
                <w:szCs w:val="21"/>
                <w:highlight w:val="none"/>
              </w:rPr>
            </w:pPr>
          </w:p>
        </w:tc>
        <w:tc>
          <w:tcPr>
            <w:tcW w:w="607" w:type="dxa"/>
            <w:vAlign w:val="center"/>
          </w:tcPr>
          <w:p w14:paraId="49EBD129">
            <w:pPr>
              <w:spacing w:line="320" w:lineRule="exact"/>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1-3</w:t>
            </w:r>
          </w:p>
        </w:tc>
        <w:tc>
          <w:tcPr>
            <w:tcW w:w="1908" w:type="dxa"/>
            <w:vAlign w:val="center"/>
          </w:tcPr>
          <w:p w14:paraId="575B74F2">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一层大堂商务厅</w:t>
            </w:r>
          </w:p>
        </w:tc>
        <w:tc>
          <w:tcPr>
            <w:tcW w:w="1156" w:type="dxa"/>
            <w:vMerge w:val="continue"/>
            <w:vAlign w:val="center"/>
          </w:tcPr>
          <w:p w14:paraId="0E9A7785">
            <w:pPr>
              <w:spacing w:line="320" w:lineRule="exact"/>
              <w:jc w:val="center"/>
              <w:rPr>
                <w:rFonts w:cs="宋体" w:asciiTheme="minorEastAsia" w:hAnsiTheme="minorEastAsia" w:eastAsiaTheme="minorEastAsia"/>
                <w:color w:val="auto"/>
                <w:szCs w:val="21"/>
                <w:highlight w:val="none"/>
              </w:rPr>
            </w:pPr>
          </w:p>
        </w:tc>
        <w:tc>
          <w:tcPr>
            <w:tcW w:w="914" w:type="dxa"/>
            <w:vAlign w:val="center"/>
          </w:tcPr>
          <w:p w14:paraId="13E1C24F">
            <w:pPr>
              <w:spacing w:line="32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约</w:t>
            </w:r>
            <w:r>
              <w:rPr>
                <w:rFonts w:hint="eastAsia" w:cs="宋体" w:asciiTheme="minorEastAsia" w:hAnsiTheme="minorEastAsia" w:eastAsiaTheme="minorEastAsia"/>
                <w:color w:val="auto"/>
                <w:szCs w:val="21"/>
                <w:highlight w:val="none"/>
              </w:rPr>
              <w:t>120㎡</w:t>
            </w:r>
          </w:p>
        </w:tc>
        <w:tc>
          <w:tcPr>
            <w:tcW w:w="1354" w:type="dxa"/>
            <w:vMerge w:val="continue"/>
            <w:vAlign w:val="center"/>
          </w:tcPr>
          <w:p w14:paraId="16811A9B">
            <w:pPr>
              <w:spacing w:line="320" w:lineRule="exact"/>
              <w:jc w:val="center"/>
              <w:rPr>
                <w:rFonts w:cs="宋体" w:asciiTheme="minorEastAsia" w:hAnsiTheme="minorEastAsia" w:eastAsiaTheme="minorEastAsia"/>
                <w:color w:val="auto"/>
                <w:szCs w:val="21"/>
                <w:highlight w:val="none"/>
              </w:rPr>
            </w:pPr>
          </w:p>
        </w:tc>
        <w:tc>
          <w:tcPr>
            <w:tcW w:w="1328" w:type="dxa"/>
            <w:vMerge w:val="continue"/>
            <w:vAlign w:val="center"/>
          </w:tcPr>
          <w:p w14:paraId="43C19745">
            <w:pPr>
              <w:spacing w:line="320" w:lineRule="exact"/>
              <w:jc w:val="center"/>
              <w:rPr>
                <w:rFonts w:cs="宋体" w:asciiTheme="minorEastAsia" w:hAnsiTheme="minorEastAsia" w:eastAsiaTheme="minorEastAsia"/>
                <w:color w:val="auto"/>
                <w:szCs w:val="21"/>
                <w:highlight w:val="none"/>
              </w:rPr>
            </w:pPr>
          </w:p>
        </w:tc>
        <w:tc>
          <w:tcPr>
            <w:tcW w:w="837" w:type="dxa"/>
            <w:vAlign w:val="center"/>
          </w:tcPr>
          <w:p w14:paraId="02DAA024">
            <w:pPr>
              <w:spacing w:line="320" w:lineRule="exact"/>
              <w:jc w:val="center"/>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餐饮</w:t>
            </w:r>
            <w:r>
              <w:rPr>
                <w:rFonts w:hint="eastAsia" w:cs="宋体" w:asciiTheme="minorEastAsia" w:hAnsiTheme="minorEastAsia" w:eastAsiaTheme="minorEastAsia"/>
                <w:color w:val="auto"/>
                <w:szCs w:val="21"/>
                <w:highlight w:val="none"/>
                <w:lang w:val="en-US" w:eastAsia="zh-CN"/>
              </w:rPr>
              <w:t>服务或酒店其他配套经营性服务</w:t>
            </w:r>
          </w:p>
        </w:tc>
        <w:tc>
          <w:tcPr>
            <w:tcW w:w="763" w:type="dxa"/>
            <w:vMerge w:val="continue"/>
            <w:vAlign w:val="center"/>
          </w:tcPr>
          <w:p w14:paraId="207704AE">
            <w:pPr>
              <w:spacing w:line="320" w:lineRule="exact"/>
              <w:jc w:val="center"/>
              <w:rPr>
                <w:rFonts w:cs="宋体" w:asciiTheme="minorEastAsia" w:hAnsiTheme="minorEastAsia" w:eastAsiaTheme="minorEastAsia"/>
                <w:color w:val="auto"/>
                <w:szCs w:val="21"/>
                <w:highlight w:val="none"/>
              </w:rPr>
            </w:pPr>
          </w:p>
        </w:tc>
      </w:tr>
      <w:tr w14:paraId="0EFF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trPr>
        <w:tc>
          <w:tcPr>
            <w:tcW w:w="9234" w:type="dxa"/>
            <w:gridSpan w:val="9"/>
            <w:vAlign w:val="center"/>
          </w:tcPr>
          <w:p w14:paraId="488EC43C">
            <w:pPr>
              <w:spacing w:line="32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备注：</w:t>
            </w:r>
            <w:r>
              <w:rPr>
                <w:rFonts w:hint="eastAsia" w:cs="宋体" w:asciiTheme="minorEastAsia" w:hAnsiTheme="minorEastAsia" w:eastAsiaTheme="minorEastAsia"/>
                <w:color w:val="auto"/>
                <w:szCs w:val="21"/>
                <w:highlight w:val="none"/>
              </w:rPr>
              <w:t>地下室车库场所不计入出租面积，仅限作为酒店服务配套设施使用</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所有场地的</w:t>
            </w:r>
            <w:r>
              <w:rPr>
                <w:rFonts w:hint="eastAsia" w:cs="宋体" w:asciiTheme="minorEastAsia" w:hAnsiTheme="minorEastAsia" w:eastAsiaTheme="minorEastAsia"/>
                <w:color w:val="auto"/>
                <w:szCs w:val="21"/>
                <w:highlight w:val="none"/>
              </w:rPr>
              <w:t>经营内容须经</w:t>
            </w:r>
            <w:r>
              <w:rPr>
                <w:rFonts w:hint="eastAsia" w:cs="宋体" w:asciiTheme="minorEastAsia" w:hAnsiTheme="minorEastAsia" w:eastAsiaTheme="minorEastAsia"/>
                <w:color w:val="auto"/>
                <w:szCs w:val="21"/>
                <w:highlight w:val="none"/>
                <w:lang w:val="en-US" w:eastAsia="zh-CN"/>
              </w:rPr>
              <w:t>招标人</w:t>
            </w:r>
            <w:r>
              <w:rPr>
                <w:rFonts w:hint="eastAsia" w:cs="宋体" w:asciiTheme="minorEastAsia" w:hAnsiTheme="minorEastAsia" w:eastAsiaTheme="minorEastAsia"/>
                <w:color w:val="auto"/>
                <w:szCs w:val="21"/>
                <w:highlight w:val="none"/>
              </w:rPr>
              <w:t>批准。</w:t>
            </w:r>
          </w:p>
        </w:tc>
      </w:tr>
    </w:tbl>
    <w:p w14:paraId="32603E86">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1EF3311F">
      <w:pPr>
        <w:numPr>
          <w:ilvl w:val="0"/>
          <w:numId w:val="0"/>
        </w:numPr>
        <w:spacing w:line="440" w:lineRule="exact"/>
        <w:rPr>
          <w:rFonts w:hint="eastAsia" w:ascii="宋体" w:hAnsi="宋体"/>
          <w:b/>
          <w:bCs/>
          <w:color w:val="auto"/>
          <w:sz w:val="24"/>
          <w:szCs w:val="24"/>
          <w:highlight w:val="none"/>
        </w:rPr>
      </w:pPr>
      <w:r>
        <w:rPr>
          <w:rFonts w:hint="eastAsia" w:ascii="宋体" w:hAnsi="宋体" w:eastAsia="宋体" w:cs="Times New Roman"/>
          <w:b/>
          <w:bCs/>
          <w:color w:val="auto"/>
          <w:kern w:val="2"/>
          <w:sz w:val="24"/>
          <w:szCs w:val="24"/>
          <w:highlight w:val="none"/>
          <w:lang w:val="en-US" w:eastAsia="zh-CN" w:bidi="ar-SA"/>
        </w:rPr>
        <w:t>（1）</w:t>
      </w:r>
      <w:r>
        <w:rPr>
          <w:rFonts w:hint="eastAsia" w:ascii="宋体" w:hAnsi="宋体"/>
          <w:b/>
          <w:bCs/>
          <w:color w:val="auto"/>
          <w:sz w:val="24"/>
          <w:szCs w:val="24"/>
          <w:highlight w:val="none"/>
        </w:rPr>
        <w:t>以上项目所列价格为</w:t>
      </w:r>
      <w:r>
        <w:rPr>
          <w:rFonts w:hint="eastAsia" w:ascii="宋体" w:hAnsi="宋体"/>
          <w:b/>
          <w:bCs/>
          <w:color w:val="auto"/>
          <w:sz w:val="24"/>
          <w:szCs w:val="24"/>
          <w:highlight w:val="none"/>
          <w:lang w:val="en-US" w:eastAsia="zh-CN"/>
        </w:rPr>
        <w:t>年</w:t>
      </w:r>
      <w:r>
        <w:rPr>
          <w:rFonts w:hint="eastAsia" w:ascii="宋体" w:hAnsi="宋体"/>
          <w:b/>
          <w:bCs/>
          <w:color w:val="auto"/>
          <w:sz w:val="24"/>
          <w:szCs w:val="24"/>
          <w:highlight w:val="none"/>
          <w:lang w:eastAsia="zh-CN"/>
        </w:rPr>
        <w:t>最低限价，</w:t>
      </w:r>
      <w:r>
        <w:rPr>
          <w:rFonts w:ascii="宋体" w:hAnsi="宋体"/>
          <w:b/>
          <w:bCs/>
          <w:color w:val="auto"/>
          <w:sz w:val="24"/>
          <w:szCs w:val="24"/>
          <w:highlight w:val="none"/>
        </w:rPr>
        <w:t>竞价人报价</w:t>
      </w:r>
      <w:r>
        <w:rPr>
          <w:rFonts w:hint="eastAsia" w:ascii="宋体" w:hAnsi="宋体"/>
          <w:b/>
          <w:bCs/>
          <w:color w:val="auto"/>
          <w:sz w:val="24"/>
          <w:szCs w:val="24"/>
          <w:highlight w:val="none"/>
          <w:lang w:eastAsia="zh-CN"/>
        </w:rPr>
        <w:t>不能</w:t>
      </w:r>
      <w:r>
        <w:rPr>
          <w:rFonts w:hint="eastAsia" w:ascii="宋体" w:hAnsi="宋体"/>
          <w:b/>
          <w:bCs/>
          <w:color w:val="auto"/>
          <w:sz w:val="24"/>
          <w:szCs w:val="24"/>
          <w:highlight w:val="none"/>
          <w:lang w:val="en-US" w:eastAsia="zh-CN"/>
        </w:rPr>
        <w:t>低于</w:t>
      </w:r>
      <w:r>
        <w:rPr>
          <w:rFonts w:hint="eastAsia" w:ascii="宋体" w:hAnsi="宋体"/>
          <w:b/>
          <w:bCs/>
          <w:color w:val="auto"/>
          <w:sz w:val="24"/>
          <w:szCs w:val="24"/>
          <w:highlight w:val="none"/>
          <w:lang w:eastAsia="zh-CN"/>
        </w:rPr>
        <w:t>最低限价</w:t>
      </w:r>
      <w:r>
        <w:rPr>
          <w:rFonts w:ascii="宋体" w:hAnsi="宋体"/>
          <w:b/>
          <w:bCs/>
          <w:color w:val="auto"/>
          <w:sz w:val="24"/>
          <w:szCs w:val="24"/>
          <w:highlight w:val="none"/>
        </w:rPr>
        <w:t>，报价单价不能</w:t>
      </w:r>
      <w:r>
        <w:rPr>
          <w:rFonts w:hint="eastAsia" w:ascii="宋体" w:hAnsi="宋体"/>
          <w:b/>
          <w:bCs/>
          <w:color w:val="auto"/>
          <w:sz w:val="24"/>
          <w:szCs w:val="24"/>
          <w:highlight w:val="none"/>
          <w:lang w:val="en-US" w:eastAsia="zh-CN"/>
        </w:rPr>
        <w:t>低于</w:t>
      </w:r>
      <w:r>
        <w:rPr>
          <w:rFonts w:ascii="宋体" w:hAnsi="宋体"/>
          <w:b/>
          <w:bCs/>
          <w:color w:val="auto"/>
          <w:sz w:val="24"/>
          <w:szCs w:val="24"/>
          <w:highlight w:val="none"/>
        </w:rPr>
        <w:t>竞价文件的</w:t>
      </w:r>
      <w:r>
        <w:rPr>
          <w:rFonts w:hint="eastAsia" w:ascii="宋体" w:hAnsi="宋体"/>
          <w:b/>
          <w:bCs/>
          <w:color w:val="auto"/>
          <w:sz w:val="24"/>
          <w:szCs w:val="24"/>
          <w:highlight w:val="none"/>
          <w:lang w:eastAsia="zh-CN"/>
        </w:rPr>
        <w:t>年最低限价</w:t>
      </w:r>
      <w:r>
        <w:rPr>
          <w:rFonts w:ascii="宋体" w:hAnsi="宋体"/>
          <w:b/>
          <w:bCs/>
          <w:color w:val="auto"/>
          <w:sz w:val="24"/>
          <w:szCs w:val="24"/>
          <w:highlight w:val="none"/>
        </w:rPr>
        <w:t>，否则，视为无效报价</w:t>
      </w:r>
      <w:r>
        <w:rPr>
          <w:rFonts w:hint="eastAsia" w:ascii="宋体" w:hAnsi="宋体"/>
          <w:b/>
          <w:bCs/>
          <w:color w:val="auto"/>
          <w:sz w:val="24"/>
          <w:szCs w:val="24"/>
          <w:highlight w:val="none"/>
        </w:rPr>
        <w:t>。</w:t>
      </w:r>
    </w:p>
    <w:p w14:paraId="5A16DE62">
      <w:pPr>
        <w:numPr>
          <w:ilvl w:val="0"/>
          <w:numId w:val="0"/>
        </w:numPr>
        <w:spacing w:line="440" w:lineRule="exact"/>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w:t>
      </w:r>
      <w:r>
        <w:rPr>
          <w:rFonts w:hint="eastAsia" w:ascii="宋体" w:hAnsi="宋体" w:cs="Times New Roman"/>
          <w:b/>
          <w:bCs/>
          <w:color w:val="auto"/>
          <w:kern w:val="2"/>
          <w:sz w:val="24"/>
          <w:szCs w:val="24"/>
          <w:highlight w:val="none"/>
          <w:lang w:val="en-US" w:eastAsia="zh-CN" w:bidi="ar-SA"/>
        </w:rPr>
        <w:t>竞价人</w:t>
      </w:r>
      <w:r>
        <w:rPr>
          <w:rFonts w:hint="eastAsia" w:ascii="宋体" w:hAnsi="宋体" w:eastAsia="宋体" w:cs="Times New Roman"/>
          <w:b/>
          <w:bCs/>
          <w:color w:val="auto"/>
          <w:kern w:val="2"/>
          <w:sz w:val="24"/>
          <w:szCs w:val="24"/>
          <w:highlight w:val="none"/>
          <w:lang w:val="en-US" w:eastAsia="zh-CN" w:bidi="ar-SA"/>
        </w:rPr>
        <w:t>按合同包</w:t>
      </w:r>
      <w:r>
        <w:rPr>
          <w:rFonts w:hint="eastAsia" w:ascii="宋体" w:hAnsi="宋体" w:cs="Times New Roman"/>
          <w:b/>
          <w:bCs/>
          <w:color w:val="auto"/>
          <w:kern w:val="2"/>
          <w:sz w:val="24"/>
          <w:szCs w:val="24"/>
          <w:highlight w:val="none"/>
          <w:lang w:val="en-US" w:eastAsia="zh-CN" w:bidi="ar-SA"/>
        </w:rPr>
        <w:t>报价</w:t>
      </w:r>
      <w:r>
        <w:rPr>
          <w:rFonts w:hint="eastAsia" w:ascii="宋体" w:hAnsi="宋体" w:eastAsia="宋体" w:cs="Times New Roman"/>
          <w:b/>
          <w:bCs/>
          <w:color w:val="auto"/>
          <w:kern w:val="2"/>
          <w:sz w:val="24"/>
          <w:szCs w:val="24"/>
          <w:highlight w:val="none"/>
          <w:lang w:val="en-US" w:eastAsia="zh-CN" w:bidi="ar-SA"/>
        </w:rPr>
        <w:t>，对同一个合同包内所有内容</w:t>
      </w:r>
      <w:r>
        <w:rPr>
          <w:rFonts w:hint="eastAsia" w:ascii="宋体" w:hAnsi="宋体" w:cs="Times New Roman"/>
          <w:b/>
          <w:bCs/>
          <w:color w:val="auto"/>
          <w:kern w:val="2"/>
          <w:sz w:val="24"/>
          <w:szCs w:val="24"/>
          <w:highlight w:val="none"/>
          <w:lang w:val="en-US" w:eastAsia="zh-CN" w:bidi="ar-SA"/>
        </w:rPr>
        <w:t>竞价</w:t>
      </w:r>
      <w:r>
        <w:rPr>
          <w:rFonts w:hint="eastAsia" w:ascii="宋体" w:hAnsi="宋体" w:eastAsia="宋体" w:cs="Times New Roman"/>
          <w:b/>
          <w:bCs/>
          <w:color w:val="auto"/>
          <w:kern w:val="2"/>
          <w:sz w:val="24"/>
          <w:szCs w:val="24"/>
          <w:highlight w:val="none"/>
          <w:lang w:val="en-US" w:eastAsia="zh-CN" w:bidi="ar-SA"/>
        </w:rPr>
        <w:t>时必须完整。评标与授标以合同包为单位。</w:t>
      </w:r>
    </w:p>
    <w:p w14:paraId="4B6CD7FA">
      <w:pPr>
        <w:numPr>
          <w:ilvl w:val="0"/>
          <w:numId w:val="0"/>
        </w:numPr>
        <w:spacing w:line="440" w:lineRule="exact"/>
        <w:rPr>
          <w:rFonts w:hint="eastAsia" w:ascii="宋体" w:hAnsi="宋体"/>
          <w:b/>
          <w:bCs/>
          <w:color w:val="auto"/>
          <w:sz w:val="24"/>
          <w:szCs w:val="24"/>
          <w:highlight w:val="none"/>
        </w:rPr>
      </w:pPr>
      <w:r>
        <w:rPr>
          <w:rFonts w:hint="eastAsia" w:ascii="宋体" w:hAnsi="宋体" w:cs="Times New Roman"/>
          <w:b/>
          <w:bCs/>
          <w:color w:val="auto"/>
          <w:kern w:val="2"/>
          <w:sz w:val="24"/>
          <w:szCs w:val="24"/>
          <w:highlight w:val="none"/>
          <w:lang w:val="en-US" w:eastAsia="zh-CN" w:bidi="ar-SA"/>
        </w:rPr>
        <w:t>（3）成交人</w:t>
      </w:r>
      <w:r>
        <w:rPr>
          <w:rFonts w:hint="eastAsia" w:ascii="宋体" w:hAnsi="宋体" w:eastAsia="宋体" w:cs="Times New Roman"/>
          <w:b/>
          <w:bCs/>
          <w:color w:val="auto"/>
          <w:kern w:val="2"/>
          <w:sz w:val="24"/>
          <w:szCs w:val="24"/>
          <w:highlight w:val="none"/>
          <w:lang w:val="en-US" w:eastAsia="zh-CN" w:bidi="ar-SA"/>
        </w:rPr>
        <w:t>不得将本项目进行任何形式的分包、转包，一经发现，</w:t>
      </w:r>
      <w:r>
        <w:rPr>
          <w:rFonts w:hint="eastAsia" w:ascii="宋体" w:hAnsi="宋体" w:cs="Times New Roman"/>
          <w:b/>
          <w:bCs/>
          <w:color w:val="auto"/>
          <w:kern w:val="2"/>
          <w:sz w:val="24"/>
          <w:szCs w:val="24"/>
          <w:highlight w:val="none"/>
          <w:lang w:val="en-US" w:eastAsia="zh-CN" w:bidi="ar-SA"/>
        </w:rPr>
        <w:t>招标人</w:t>
      </w:r>
      <w:r>
        <w:rPr>
          <w:rFonts w:hint="eastAsia" w:ascii="宋体" w:hAnsi="宋体" w:eastAsia="宋体" w:cs="Times New Roman"/>
          <w:b/>
          <w:bCs/>
          <w:color w:val="auto"/>
          <w:kern w:val="2"/>
          <w:sz w:val="24"/>
          <w:szCs w:val="24"/>
          <w:highlight w:val="none"/>
          <w:lang w:val="en-US" w:eastAsia="zh-CN" w:bidi="ar-SA"/>
        </w:rPr>
        <w:t>有权终止合同，同时没收保证金。</w:t>
      </w:r>
    </w:p>
    <w:p w14:paraId="55290737">
      <w:pPr>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其他重要须知：</w:t>
      </w:r>
    </w:p>
    <w:p w14:paraId="5B64E1E0">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必须对其</w:t>
      </w:r>
      <w:r>
        <w:rPr>
          <w:rFonts w:hint="eastAsia" w:ascii="宋体" w:hAnsi="宋体"/>
          <w:b/>
          <w:bCs/>
          <w:color w:val="auto"/>
          <w:sz w:val="24"/>
          <w:szCs w:val="24"/>
          <w:highlight w:val="none"/>
          <w:lang w:eastAsia="zh-CN"/>
        </w:rPr>
        <w:t>报价文件</w:t>
      </w:r>
      <w:r>
        <w:rPr>
          <w:rFonts w:hint="eastAsia" w:ascii="宋体" w:hAnsi="宋体"/>
          <w:b/>
          <w:bCs/>
          <w:color w:val="auto"/>
          <w:sz w:val="24"/>
          <w:szCs w:val="24"/>
          <w:highlight w:val="none"/>
        </w:rPr>
        <w:t>中提供各种资料、说明的真实性负责。若在</w:t>
      </w:r>
      <w:r>
        <w:rPr>
          <w:rFonts w:hint="eastAsia" w:ascii="宋体" w:hAnsi="宋体"/>
          <w:b/>
          <w:bCs/>
          <w:color w:val="auto"/>
          <w:sz w:val="24"/>
          <w:szCs w:val="24"/>
          <w:highlight w:val="none"/>
          <w:lang w:eastAsia="zh-CN"/>
        </w:rPr>
        <w:t>成交</w:t>
      </w:r>
      <w:r>
        <w:rPr>
          <w:rFonts w:hint="eastAsia" w:ascii="宋体" w:hAnsi="宋体"/>
          <w:b/>
          <w:bCs/>
          <w:color w:val="auto"/>
          <w:sz w:val="24"/>
          <w:szCs w:val="24"/>
          <w:highlight w:val="none"/>
        </w:rPr>
        <w:t>后和执行合同过程中发现其提供虚假资料的将取消其</w:t>
      </w:r>
      <w:r>
        <w:rPr>
          <w:rFonts w:hint="eastAsia" w:ascii="宋体" w:hAnsi="宋体"/>
          <w:b/>
          <w:bCs/>
          <w:color w:val="auto"/>
          <w:sz w:val="24"/>
          <w:szCs w:val="24"/>
          <w:highlight w:val="none"/>
          <w:lang w:eastAsia="zh-CN"/>
        </w:rPr>
        <w:t>成交</w:t>
      </w:r>
      <w:r>
        <w:rPr>
          <w:rFonts w:hint="eastAsia" w:ascii="宋体" w:hAnsi="宋体"/>
          <w:b/>
          <w:bCs/>
          <w:color w:val="auto"/>
          <w:sz w:val="24"/>
          <w:szCs w:val="24"/>
          <w:highlight w:val="none"/>
        </w:rPr>
        <w:t>资格，其保证金将不予退还，给</w:t>
      </w:r>
      <w:r>
        <w:rPr>
          <w:rFonts w:hint="eastAsia" w:ascii="宋体" w:hAnsi="宋体"/>
          <w:b/>
          <w:bCs/>
          <w:color w:val="auto"/>
          <w:sz w:val="24"/>
          <w:szCs w:val="24"/>
          <w:highlight w:val="none"/>
          <w:lang w:eastAsia="zh-CN"/>
        </w:rPr>
        <w:t>招标人</w:t>
      </w:r>
      <w:r>
        <w:rPr>
          <w:rFonts w:hint="eastAsia" w:ascii="宋体" w:hAnsi="宋体"/>
          <w:b/>
          <w:bCs/>
          <w:color w:val="auto"/>
          <w:sz w:val="24"/>
          <w:szCs w:val="24"/>
          <w:highlight w:val="none"/>
        </w:rPr>
        <w:t>造成损失的，还必须进行赔偿并负相关责任。</w:t>
      </w:r>
    </w:p>
    <w:p w14:paraId="0757DFBF">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现场考察：</w:t>
      </w:r>
      <w:r>
        <w:rPr>
          <w:rFonts w:hint="eastAsia" w:ascii="宋体" w:hAnsi="宋体"/>
          <w:b/>
          <w:bCs/>
          <w:color w:val="auto"/>
          <w:sz w:val="24"/>
          <w:szCs w:val="24"/>
          <w:highlight w:val="none"/>
          <w:lang w:eastAsia="zh-CN"/>
        </w:rPr>
        <w:t>招标人</w:t>
      </w:r>
      <w:r>
        <w:rPr>
          <w:rFonts w:hint="eastAsia" w:ascii="宋体" w:hAnsi="宋体"/>
          <w:b/>
          <w:bCs/>
          <w:color w:val="auto"/>
          <w:sz w:val="24"/>
          <w:szCs w:val="24"/>
          <w:highlight w:val="none"/>
        </w:rPr>
        <w:t>不统一组织现场考察</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如需实地考察项目状况，可自行前往。现场考察过程中所发生的费用及一切风险均由</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自行承担，</w:t>
      </w:r>
      <w:r>
        <w:rPr>
          <w:rFonts w:hint="eastAsia" w:ascii="宋体" w:hAnsi="宋体"/>
          <w:b/>
          <w:bCs/>
          <w:color w:val="auto"/>
          <w:sz w:val="24"/>
          <w:szCs w:val="24"/>
          <w:highlight w:val="none"/>
          <w:lang w:eastAsia="zh-CN"/>
        </w:rPr>
        <w:t>招标人</w:t>
      </w:r>
      <w:r>
        <w:rPr>
          <w:rFonts w:hint="eastAsia" w:ascii="宋体" w:hAnsi="宋体"/>
          <w:b/>
          <w:bCs/>
          <w:color w:val="auto"/>
          <w:sz w:val="24"/>
          <w:szCs w:val="24"/>
          <w:highlight w:val="none"/>
        </w:rPr>
        <w:t>及</w:t>
      </w:r>
      <w:r>
        <w:rPr>
          <w:rFonts w:hint="eastAsia" w:ascii="宋体" w:hAnsi="宋体"/>
          <w:b/>
          <w:bCs/>
          <w:color w:val="auto"/>
          <w:sz w:val="24"/>
          <w:szCs w:val="24"/>
          <w:highlight w:val="none"/>
          <w:lang w:eastAsia="zh-CN"/>
        </w:rPr>
        <w:t>招标代理机构</w:t>
      </w:r>
      <w:r>
        <w:rPr>
          <w:rFonts w:hint="eastAsia" w:ascii="宋体" w:hAnsi="宋体"/>
          <w:b/>
          <w:bCs/>
          <w:color w:val="auto"/>
          <w:sz w:val="24"/>
          <w:szCs w:val="24"/>
          <w:highlight w:val="none"/>
        </w:rPr>
        <w:t>均不负责。</w:t>
      </w:r>
    </w:p>
    <w:p w14:paraId="21AB03C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各</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须在上表 “限制用途”规定的范围内经营，并在</w:t>
      </w:r>
      <w:r>
        <w:rPr>
          <w:rFonts w:hint="eastAsia" w:ascii="宋体" w:hAnsi="宋体"/>
          <w:b/>
          <w:bCs/>
          <w:color w:val="auto"/>
          <w:sz w:val="24"/>
          <w:szCs w:val="24"/>
          <w:highlight w:val="none"/>
          <w:lang w:eastAsia="zh-CN"/>
        </w:rPr>
        <w:t>报价文件</w:t>
      </w:r>
      <w:r>
        <w:rPr>
          <w:rFonts w:hint="eastAsia" w:ascii="宋体" w:hAnsi="宋体"/>
          <w:b/>
          <w:bCs/>
          <w:color w:val="auto"/>
          <w:sz w:val="24"/>
          <w:szCs w:val="24"/>
          <w:highlight w:val="none"/>
        </w:rPr>
        <w:t>中明确承诺，未承诺或承诺的经营范围超出要求的，按</w:t>
      </w:r>
      <w:r>
        <w:rPr>
          <w:rFonts w:hint="eastAsia" w:ascii="宋体" w:hAnsi="宋体"/>
          <w:b/>
          <w:bCs/>
          <w:color w:val="auto"/>
          <w:sz w:val="24"/>
          <w:szCs w:val="24"/>
          <w:highlight w:val="none"/>
          <w:lang w:eastAsia="zh-CN"/>
        </w:rPr>
        <w:t>无效报价</w:t>
      </w:r>
      <w:r>
        <w:rPr>
          <w:rFonts w:hint="eastAsia" w:ascii="宋体" w:hAnsi="宋体"/>
          <w:b/>
          <w:bCs/>
          <w:color w:val="auto"/>
          <w:sz w:val="24"/>
          <w:szCs w:val="24"/>
          <w:highlight w:val="none"/>
        </w:rPr>
        <w:t>处理。若</w:t>
      </w:r>
      <w:r>
        <w:rPr>
          <w:rFonts w:hint="eastAsia" w:ascii="宋体" w:hAnsi="宋体"/>
          <w:b/>
          <w:bCs/>
          <w:color w:val="auto"/>
          <w:sz w:val="24"/>
          <w:szCs w:val="24"/>
          <w:highlight w:val="none"/>
          <w:lang w:eastAsia="zh-CN"/>
        </w:rPr>
        <w:t>成交</w:t>
      </w:r>
      <w:r>
        <w:rPr>
          <w:rFonts w:hint="eastAsia" w:ascii="宋体" w:hAnsi="宋体"/>
          <w:b/>
          <w:bCs/>
          <w:color w:val="auto"/>
          <w:sz w:val="24"/>
          <w:szCs w:val="24"/>
          <w:highlight w:val="none"/>
        </w:rPr>
        <w:t>后未按承诺经营，</w:t>
      </w:r>
      <w:r>
        <w:rPr>
          <w:rFonts w:hint="eastAsia" w:ascii="宋体" w:hAnsi="宋体"/>
          <w:b/>
          <w:bCs/>
          <w:color w:val="auto"/>
          <w:sz w:val="24"/>
          <w:szCs w:val="24"/>
          <w:highlight w:val="none"/>
          <w:lang w:eastAsia="zh-CN"/>
        </w:rPr>
        <w:t>招标人</w:t>
      </w:r>
      <w:r>
        <w:rPr>
          <w:rFonts w:hint="eastAsia" w:ascii="宋体" w:hAnsi="宋体"/>
          <w:b/>
          <w:bCs/>
          <w:color w:val="auto"/>
          <w:sz w:val="24"/>
          <w:szCs w:val="24"/>
          <w:highlight w:val="none"/>
        </w:rPr>
        <w:t>有权单方面终止合同，其缴纳的押金不予退还。</w:t>
      </w:r>
    </w:p>
    <w:p w14:paraId="1BD8702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若</w:t>
      </w:r>
      <w:r>
        <w:rPr>
          <w:rFonts w:hint="eastAsia" w:ascii="宋体" w:hAnsi="宋体"/>
          <w:b/>
          <w:bCs/>
          <w:color w:val="auto"/>
          <w:sz w:val="24"/>
          <w:szCs w:val="24"/>
          <w:highlight w:val="none"/>
          <w:lang w:val="en-US" w:eastAsia="zh-CN"/>
        </w:rPr>
        <w:t>审核报价文件</w:t>
      </w:r>
      <w:r>
        <w:rPr>
          <w:rFonts w:hint="eastAsia" w:ascii="宋体" w:hAnsi="宋体"/>
          <w:b/>
          <w:bCs/>
          <w:color w:val="auto"/>
          <w:sz w:val="24"/>
          <w:szCs w:val="24"/>
          <w:highlight w:val="none"/>
        </w:rPr>
        <w:t>时发现同一合同包中</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之间为夫妻或直系亲属关系的，按</w:t>
      </w:r>
      <w:r>
        <w:rPr>
          <w:rFonts w:hint="eastAsia" w:ascii="宋体" w:hAnsi="宋体"/>
          <w:b/>
          <w:bCs/>
          <w:color w:val="auto"/>
          <w:sz w:val="24"/>
          <w:szCs w:val="24"/>
          <w:highlight w:val="none"/>
          <w:lang w:eastAsia="zh-CN"/>
        </w:rPr>
        <w:t>无效报价</w:t>
      </w:r>
      <w:r>
        <w:rPr>
          <w:rFonts w:hint="eastAsia" w:ascii="宋体" w:hAnsi="宋体"/>
          <w:b/>
          <w:bCs/>
          <w:color w:val="auto"/>
          <w:sz w:val="24"/>
          <w:szCs w:val="24"/>
          <w:highlight w:val="none"/>
        </w:rPr>
        <w:t>处理，若</w:t>
      </w:r>
      <w:r>
        <w:rPr>
          <w:rFonts w:hint="eastAsia" w:ascii="宋体" w:hAnsi="宋体"/>
          <w:b/>
          <w:bCs/>
          <w:color w:val="auto"/>
          <w:sz w:val="24"/>
          <w:szCs w:val="24"/>
          <w:highlight w:val="none"/>
          <w:lang w:eastAsia="zh-CN"/>
        </w:rPr>
        <w:t>成交</w:t>
      </w:r>
      <w:r>
        <w:rPr>
          <w:rFonts w:hint="eastAsia" w:ascii="宋体" w:hAnsi="宋体"/>
          <w:b/>
          <w:bCs/>
          <w:color w:val="auto"/>
          <w:sz w:val="24"/>
          <w:szCs w:val="24"/>
          <w:highlight w:val="none"/>
        </w:rPr>
        <w:t>后发现本合同包</w:t>
      </w:r>
      <w:r>
        <w:rPr>
          <w:rFonts w:hint="eastAsia" w:ascii="宋体" w:hAnsi="宋体"/>
          <w:b/>
          <w:bCs/>
          <w:color w:val="auto"/>
          <w:sz w:val="24"/>
          <w:szCs w:val="24"/>
          <w:highlight w:val="none"/>
          <w:lang w:eastAsia="zh-CN"/>
        </w:rPr>
        <w:t>竞价人</w:t>
      </w:r>
      <w:r>
        <w:rPr>
          <w:rFonts w:hint="eastAsia" w:ascii="宋体" w:hAnsi="宋体"/>
          <w:b/>
          <w:bCs/>
          <w:color w:val="auto"/>
          <w:sz w:val="24"/>
          <w:szCs w:val="24"/>
          <w:highlight w:val="none"/>
        </w:rPr>
        <w:t>存在上述关系，</w:t>
      </w:r>
      <w:r>
        <w:rPr>
          <w:rFonts w:hint="eastAsia" w:ascii="宋体" w:hAnsi="宋体"/>
          <w:b/>
          <w:bCs/>
          <w:color w:val="auto"/>
          <w:sz w:val="24"/>
          <w:szCs w:val="24"/>
          <w:highlight w:val="none"/>
          <w:lang w:eastAsia="zh-CN"/>
        </w:rPr>
        <w:t>成交</w:t>
      </w:r>
      <w:r>
        <w:rPr>
          <w:rFonts w:hint="eastAsia" w:ascii="宋体" w:hAnsi="宋体"/>
          <w:b/>
          <w:bCs/>
          <w:color w:val="auto"/>
          <w:sz w:val="24"/>
          <w:szCs w:val="24"/>
          <w:highlight w:val="none"/>
        </w:rPr>
        <w:t>结果无效。</w:t>
      </w:r>
    </w:p>
    <w:p w14:paraId="44753784">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5、竞价</w:t>
      </w:r>
      <w:r>
        <w:rPr>
          <w:rFonts w:hint="eastAsia" w:ascii="宋体" w:hAnsi="宋体"/>
          <w:b/>
          <w:bCs/>
          <w:color w:val="auto"/>
          <w:sz w:val="24"/>
          <w:szCs w:val="24"/>
          <w:highlight w:val="none"/>
        </w:rPr>
        <w:t>报价以“元”为单位，进行年租金报价，不得低于</w:t>
      </w:r>
      <w:r>
        <w:rPr>
          <w:rFonts w:hint="eastAsia" w:ascii="宋体" w:hAnsi="宋体"/>
          <w:b/>
          <w:bCs/>
          <w:color w:val="auto"/>
          <w:sz w:val="24"/>
          <w:szCs w:val="24"/>
          <w:highlight w:val="none"/>
          <w:lang w:val="en-US" w:eastAsia="zh-CN"/>
        </w:rPr>
        <w:t>竞价</w:t>
      </w:r>
      <w:r>
        <w:rPr>
          <w:rFonts w:hint="eastAsia" w:ascii="宋体" w:hAnsi="宋体"/>
          <w:b/>
          <w:bCs/>
          <w:color w:val="auto"/>
          <w:sz w:val="24"/>
          <w:szCs w:val="24"/>
          <w:highlight w:val="none"/>
        </w:rPr>
        <w:t>文件设定的年最低限价，若</w:t>
      </w:r>
      <w:r>
        <w:rPr>
          <w:rFonts w:hint="eastAsia" w:ascii="宋体" w:hAnsi="宋体"/>
          <w:b/>
          <w:bCs/>
          <w:color w:val="auto"/>
          <w:sz w:val="24"/>
          <w:szCs w:val="24"/>
          <w:highlight w:val="none"/>
          <w:lang w:val="en-US" w:eastAsia="zh-CN"/>
        </w:rPr>
        <w:t>竞价</w:t>
      </w:r>
      <w:r>
        <w:rPr>
          <w:rFonts w:hint="eastAsia" w:ascii="宋体" w:hAnsi="宋体"/>
          <w:b/>
          <w:bCs/>
          <w:color w:val="auto"/>
          <w:sz w:val="24"/>
          <w:szCs w:val="24"/>
          <w:highlight w:val="none"/>
        </w:rPr>
        <w:t>报价在年最低限价基础上有增长的，须以“</w:t>
      </w:r>
      <w:r>
        <w:rPr>
          <w:rFonts w:hint="eastAsia" w:ascii="宋体" w:hAnsi="宋体"/>
          <w:b/>
          <w:bCs/>
          <w:color w:val="auto"/>
          <w:sz w:val="24"/>
          <w:szCs w:val="24"/>
          <w:highlight w:val="none"/>
          <w:lang w:eastAsia="zh-CN"/>
        </w:rPr>
        <w:t>壹仟</w:t>
      </w:r>
      <w:r>
        <w:rPr>
          <w:rFonts w:hint="eastAsia" w:ascii="宋体" w:hAnsi="宋体"/>
          <w:b/>
          <w:bCs/>
          <w:color w:val="auto"/>
          <w:sz w:val="24"/>
          <w:szCs w:val="24"/>
          <w:highlight w:val="none"/>
        </w:rPr>
        <w:t>元”或“</w:t>
      </w:r>
      <w:r>
        <w:rPr>
          <w:rFonts w:hint="eastAsia" w:ascii="宋体" w:hAnsi="宋体"/>
          <w:b/>
          <w:bCs/>
          <w:color w:val="auto"/>
          <w:sz w:val="24"/>
          <w:szCs w:val="24"/>
          <w:highlight w:val="none"/>
          <w:lang w:eastAsia="zh-CN"/>
        </w:rPr>
        <w:t>壹仟</w:t>
      </w:r>
      <w:r>
        <w:rPr>
          <w:rFonts w:hint="eastAsia" w:ascii="宋体" w:hAnsi="宋体"/>
          <w:b/>
          <w:bCs/>
          <w:color w:val="auto"/>
          <w:sz w:val="24"/>
          <w:szCs w:val="24"/>
          <w:highlight w:val="none"/>
        </w:rPr>
        <w:t>元的倍数”增加，不得体现“角</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分”，否则按</w:t>
      </w:r>
      <w:r>
        <w:rPr>
          <w:rFonts w:hint="eastAsia" w:ascii="宋体" w:hAnsi="宋体"/>
          <w:b/>
          <w:bCs/>
          <w:color w:val="auto"/>
          <w:sz w:val="24"/>
          <w:szCs w:val="24"/>
          <w:highlight w:val="none"/>
          <w:lang w:eastAsia="zh-CN"/>
        </w:rPr>
        <w:t>无效报价</w:t>
      </w:r>
      <w:r>
        <w:rPr>
          <w:rFonts w:hint="eastAsia" w:ascii="宋体" w:hAnsi="宋体"/>
          <w:b/>
          <w:bCs/>
          <w:color w:val="auto"/>
          <w:sz w:val="24"/>
          <w:szCs w:val="24"/>
          <w:highlight w:val="none"/>
        </w:rPr>
        <w:t>处理。</w:t>
      </w:r>
    </w:p>
    <w:p w14:paraId="2E2DDBCD">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C323F45">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w:t>
      </w:r>
      <w:r>
        <w:rPr>
          <w:rFonts w:hint="eastAsia" w:ascii="新宋体" w:hAnsi="新宋体" w:eastAsia="新宋体"/>
          <w:color w:val="auto"/>
          <w:sz w:val="24"/>
          <w:szCs w:val="24"/>
          <w:highlight w:val="none"/>
          <w:lang w:eastAsia="zh-CN"/>
        </w:rPr>
        <w:t>项目</w:t>
      </w:r>
      <w:r>
        <w:rPr>
          <w:rFonts w:hint="eastAsia" w:ascii="新宋体" w:hAnsi="新宋体" w:eastAsia="新宋体"/>
          <w:color w:val="auto"/>
          <w:sz w:val="24"/>
          <w:szCs w:val="24"/>
          <w:highlight w:val="none"/>
        </w:rPr>
        <w:t>提供经营管理服务的，具有法人资格的餐饮企业（经营范围须有餐饮或类似表述</w:t>
      </w:r>
      <w:r>
        <w:rPr>
          <w:rFonts w:hint="eastAsia" w:ascii="新宋体" w:hAnsi="新宋体" w:eastAsia="新宋体"/>
          <w:color w:val="auto"/>
          <w:sz w:val="24"/>
          <w:szCs w:val="24"/>
          <w:highlight w:val="none"/>
          <w:lang w:eastAsia="zh-CN"/>
        </w:rPr>
        <w:t>，</w:t>
      </w:r>
      <w:r>
        <w:rPr>
          <w:rFonts w:hint="eastAsia" w:ascii="宋体" w:hAnsi="宋体"/>
          <w:b/>
          <w:bCs/>
          <w:color w:val="auto"/>
          <w:sz w:val="24"/>
          <w:szCs w:val="24"/>
          <w:highlight w:val="none"/>
        </w:rPr>
        <w:t>且实际经营</w:t>
      </w:r>
      <w:r>
        <w:rPr>
          <w:rFonts w:hint="eastAsia" w:ascii="宋体" w:hAnsi="宋体"/>
          <w:b/>
          <w:bCs/>
          <w:color w:val="auto"/>
          <w:sz w:val="24"/>
          <w:szCs w:val="24"/>
          <w:highlight w:val="none"/>
          <w:lang w:val="en-US" w:eastAsia="zh-CN"/>
        </w:rPr>
        <w:t>年限</w:t>
      </w:r>
      <w:r>
        <w:rPr>
          <w:rFonts w:hint="eastAsia" w:ascii="宋体" w:hAnsi="宋体"/>
          <w:b/>
          <w:bCs/>
          <w:color w:val="auto"/>
          <w:sz w:val="24"/>
          <w:szCs w:val="24"/>
          <w:highlight w:val="none"/>
        </w:rPr>
        <w:t>必须满</w:t>
      </w: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年</w:t>
      </w:r>
      <w:r>
        <w:rPr>
          <w:rFonts w:hint="eastAsia" w:ascii="新宋体" w:hAnsi="新宋体" w:eastAsia="新宋体"/>
          <w:color w:val="auto"/>
          <w:sz w:val="24"/>
          <w:szCs w:val="24"/>
          <w:highlight w:val="none"/>
        </w:rPr>
        <w:t>）均可能成为合格的</w:t>
      </w:r>
      <w:r>
        <w:rPr>
          <w:rFonts w:hint="eastAsia" w:ascii="新宋体" w:hAnsi="新宋体" w:eastAsia="新宋体"/>
          <w:color w:val="auto"/>
          <w:sz w:val="24"/>
          <w:szCs w:val="24"/>
          <w:highlight w:val="none"/>
          <w:lang w:val="en-US" w:eastAsia="zh-CN"/>
        </w:rPr>
        <w:t>竞价人</w:t>
      </w:r>
      <w:r>
        <w:rPr>
          <w:rFonts w:hint="eastAsia" w:ascii="新宋体" w:hAnsi="新宋体" w:eastAsia="新宋体"/>
          <w:color w:val="auto"/>
          <w:sz w:val="24"/>
          <w:szCs w:val="24"/>
          <w:highlight w:val="none"/>
        </w:rPr>
        <w:t>，并提供有效的营业执照复印件或其他相应的证明文件；</w:t>
      </w:r>
    </w:p>
    <w:p w14:paraId="13D814DD">
      <w:pPr>
        <w:pStyle w:val="46"/>
        <w:spacing w:line="500" w:lineRule="exact"/>
        <w:jc w:val="left"/>
        <w:rPr>
          <w:rFonts w:hint="eastAsia" w:hAnsi="宋体" w:eastAsia="宋体" w:cs="宋体"/>
          <w:b/>
          <w:color w:val="auto"/>
          <w:kern w:val="0"/>
          <w:sz w:val="24"/>
          <w:highlight w:val="none"/>
          <w:lang w:eastAsia="zh-CN"/>
        </w:rPr>
      </w:pPr>
      <w:r>
        <w:rPr>
          <w:rFonts w:hint="eastAsia" w:hAnsi="宋体"/>
          <w:color w:val="auto"/>
          <w:sz w:val="24"/>
          <w:szCs w:val="24"/>
          <w:highlight w:val="none"/>
        </w:rPr>
        <w:t>2、竞价人应遵守中国的有关法律、法规和规章的规定，应提供以下证明材料或针对以下内容作出承诺（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r>
        <w:rPr>
          <w:rFonts w:hint="eastAsia" w:hAnsi="宋体"/>
          <w:color w:val="auto"/>
          <w:sz w:val="24"/>
          <w:szCs w:val="24"/>
          <w:highlight w:val="none"/>
          <w:lang w:eastAsia="zh-CN"/>
        </w:rPr>
        <w:t>：</w:t>
      </w:r>
    </w:p>
    <w:p w14:paraId="7DD69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olor w:val="auto"/>
          <w:sz w:val="24"/>
          <w:szCs w:val="24"/>
          <w:highlight w:val="none"/>
          <w:lang w:eastAsia="zh-CN"/>
        </w:rPr>
        <w:t>.</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2B73193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olor w:val="auto"/>
          <w:sz w:val="24"/>
          <w:szCs w:val="24"/>
          <w:highlight w:val="none"/>
          <w:lang w:eastAsia="zh-CN"/>
        </w:rPr>
        <w:t>.</w:t>
      </w:r>
      <w:r>
        <w:rPr>
          <w:rFonts w:hint="eastAsia" w:ascii="宋体" w:hAnsi="宋体" w:cs="宋体"/>
          <w:color w:val="auto"/>
          <w:sz w:val="24"/>
          <w:highlight w:val="none"/>
        </w:rPr>
        <w:t>须提供报价截止时间前六个月内任一个月的缴税证明；</w:t>
      </w:r>
    </w:p>
    <w:p w14:paraId="056C867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olor w:val="auto"/>
          <w:sz w:val="24"/>
          <w:szCs w:val="24"/>
          <w:highlight w:val="none"/>
          <w:lang w:eastAsia="zh-CN"/>
        </w:rPr>
        <w:t>.</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433E7CDD">
      <w:pPr>
        <w:spacing w:line="440" w:lineRule="exact"/>
        <w:rPr>
          <w:rFonts w:ascii="宋体" w:hAnsi="宋体"/>
          <w:color w:val="auto"/>
          <w:sz w:val="24"/>
          <w:szCs w:val="24"/>
          <w:highlight w:val="none"/>
        </w:rPr>
      </w:pPr>
      <w:r>
        <w:rPr>
          <w:rFonts w:hint="eastAsia" w:ascii="宋体" w:hAnsi="宋体"/>
          <w:color w:val="auto"/>
          <w:sz w:val="24"/>
          <w:szCs w:val="24"/>
          <w:highlight w:val="none"/>
        </w:rPr>
        <w:t>3、参加</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活动前3年内在经营活动中没有重大违法记录及无行贿犯罪的书面声明；</w:t>
      </w:r>
    </w:p>
    <w:p w14:paraId="04D5FED1">
      <w:pPr>
        <w:spacing w:line="44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rPr>
        <w:t>4、具备履行合同所必需的设备和专业技术能力的声明函；</w:t>
      </w:r>
    </w:p>
    <w:p w14:paraId="7DD23898">
      <w:pPr>
        <w:spacing w:line="440" w:lineRule="exac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、如由授权代表参与竞价，须提供法定代表人授权书。</w:t>
      </w:r>
    </w:p>
    <w:p w14:paraId="3F687722">
      <w:pPr>
        <w:spacing w:line="440" w:lineRule="exac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、竞价人须提供“信用中国”网站（www.creditchina.gov.cn）及中国政府采购网（www.ccgp.gov.cn）信用信息查询无严重违法失信行为信息记录的打印件（或截图）。</w:t>
      </w:r>
    </w:p>
    <w:p w14:paraId="6C4E02C3">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、特定资格要求：</w:t>
      </w:r>
      <w:r>
        <w:rPr>
          <w:rFonts w:hint="eastAsia" w:ascii="宋体" w:hAnsi="宋体"/>
          <w:b/>
          <w:bCs/>
          <w:color w:val="auto"/>
          <w:sz w:val="24"/>
          <w:szCs w:val="24"/>
          <w:highlight w:val="none"/>
          <w:lang w:val="en-US" w:eastAsia="zh-CN"/>
        </w:rPr>
        <w:t>竞价人</w:t>
      </w:r>
      <w:r>
        <w:rPr>
          <w:rFonts w:hint="eastAsia" w:ascii="宋体" w:hAnsi="宋体"/>
          <w:b/>
          <w:bCs/>
          <w:color w:val="auto"/>
          <w:sz w:val="24"/>
          <w:szCs w:val="24"/>
          <w:highlight w:val="none"/>
        </w:rPr>
        <w:t>在2020年9月1日以来经营过单个面积500平方米以上（含500平方米）的</w:t>
      </w:r>
      <w:r>
        <w:rPr>
          <w:rFonts w:hint="eastAsia" w:ascii="宋体" w:hAnsi="宋体"/>
          <w:b/>
          <w:bCs/>
          <w:color w:val="auto"/>
          <w:sz w:val="24"/>
          <w:szCs w:val="24"/>
          <w:highlight w:val="none"/>
          <w:lang w:val="en-US" w:eastAsia="zh-CN"/>
        </w:rPr>
        <w:t>餐饮店</w:t>
      </w:r>
      <w:r>
        <w:rPr>
          <w:rFonts w:hint="eastAsia" w:ascii="宋体" w:hAnsi="宋体"/>
          <w:b/>
          <w:bCs/>
          <w:color w:val="auto"/>
          <w:sz w:val="24"/>
          <w:szCs w:val="24"/>
          <w:highlight w:val="none"/>
        </w:rPr>
        <w:t>， 在以往的餐饮经营管理活动中信誉良好，未发生食品卫生安全事故。（须提供经营合同复印件且合同中须体现经营年限、面积，合同未能体现面积的还须提供业主单位出具的相关面积证明材料。及在以往的餐饮经营管理活动中信誉良好未发生食品卫生安全事故的承诺）</w:t>
      </w:r>
      <w:r>
        <w:rPr>
          <w:rFonts w:hint="eastAsia" w:ascii="宋体" w:hAnsi="宋体"/>
          <w:b/>
          <w:bCs/>
          <w:color w:val="auto"/>
          <w:sz w:val="24"/>
          <w:szCs w:val="24"/>
          <w:highlight w:val="none"/>
          <w:lang w:val="en-US" w:eastAsia="zh-CN"/>
        </w:rPr>
        <w:t>。</w:t>
      </w:r>
    </w:p>
    <w:p w14:paraId="60891905">
      <w:pPr>
        <w:spacing w:line="440" w:lineRule="exact"/>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、本项目不接受联合体竞价。</w:t>
      </w:r>
    </w:p>
    <w:p w14:paraId="78D47F63">
      <w:pPr>
        <w:spacing w:line="440" w:lineRule="exact"/>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、竞价保证金凭证复印件。</w:t>
      </w:r>
    </w:p>
    <w:p w14:paraId="080BFFE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w:t>
      </w:r>
      <w:r>
        <w:rPr>
          <w:rFonts w:hint="eastAsia" w:ascii="宋体" w:hAnsi="宋体"/>
          <w:color w:val="auto"/>
          <w:sz w:val="24"/>
          <w:szCs w:val="24"/>
          <w:highlight w:val="none"/>
          <w:lang w:eastAsia="zh-CN"/>
        </w:rPr>
        <w:t>属在</w:t>
      </w:r>
      <w:r>
        <w:rPr>
          <w:rFonts w:hint="eastAsia" w:ascii="宋体" w:hAnsi="宋体"/>
          <w:color w:val="auto"/>
          <w:sz w:val="24"/>
          <w:szCs w:val="24"/>
          <w:highlight w:val="none"/>
        </w:rPr>
        <w:t>法定有效期内的，若发生变更的，应按有关规定办理完变更手续后方可参加竞价，并以发证机关核准的变更为准，否则按无效文件处理。所有资格证明文件复印件应是清晰的并加盖竞价人公章。</w:t>
      </w:r>
    </w:p>
    <w:p w14:paraId="61A0AD7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63047D7B">
      <w:pPr>
        <w:spacing w:line="440" w:lineRule="exact"/>
        <w:ind w:firstLine="481"/>
        <w:rPr>
          <w:rFonts w:hint="eastAsia" w:ascii="宋体" w:hAnsi="宋体"/>
          <w:b/>
          <w:bCs/>
          <w:color w:val="auto"/>
          <w:sz w:val="24"/>
          <w:szCs w:val="24"/>
          <w:highlight w:val="none"/>
        </w:rPr>
      </w:pPr>
    </w:p>
    <w:p w14:paraId="57CEEF7D">
      <w:pPr>
        <w:spacing w:line="440" w:lineRule="exact"/>
        <w:ind w:firstLine="481"/>
        <w:rPr>
          <w:rFonts w:ascii="宋体" w:hAnsi="宋体"/>
          <w:b/>
          <w:bCs/>
          <w:color w:val="auto"/>
          <w:sz w:val="28"/>
          <w:szCs w:val="28"/>
          <w:highlight w:val="none"/>
        </w:rPr>
      </w:pPr>
      <w:r>
        <w:rPr>
          <w:rFonts w:hint="eastAsia" w:ascii="宋体" w:hAnsi="宋体"/>
          <w:b/>
          <w:bCs/>
          <w:color w:val="auto"/>
          <w:sz w:val="28"/>
          <w:szCs w:val="28"/>
          <w:highlight w:val="none"/>
        </w:rPr>
        <w:t>（二）</w:t>
      </w:r>
      <w:r>
        <w:rPr>
          <w:rFonts w:hint="eastAsia" w:ascii="宋体" w:hAnsi="宋体"/>
          <w:b/>
          <w:bCs/>
          <w:color w:val="auto"/>
          <w:sz w:val="28"/>
          <w:szCs w:val="28"/>
          <w:highlight w:val="none"/>
          <w:lang w:val="en-US" w:eastAsia="zh-CN"/>
        </w:rPr>
        <w:t>竞价内容及</w:t>
      </w:r>
      <w:r>
        <w:rPr>
          <w:rFonts w:hint="eastAsia" w:ascii="宋体" w:hAnsi="宋体"/>
          <w:b/>
          <w:bCs/>
          <w:color w:val="auto"/>
          <w:sz w:val="28"/>
          <w:szCs w:val="28"/>
          <w:highlight w:val="none"/>
        </w:rPr>
        <w:t>要求</w:t>
      </w:r>
    </w:p>
    <w:p w14:paraId="02ECA8DA">
      <w:pPr>
        <w:spacing w:line="440" w:lineRule="exact"/>
        <w:ind w:firstLine="481"/>
        <w:rPr>
          <w:rFonts w:hint="eastAsia" w:ascii="宋体" w:hAnsi="宋体"/>
          <w:b w:val="0"/>
          <w:bCs w:val="0"/>
          <w:color w:val="auto"/>
          <w:sz w:val="24"/>
          <w:szCs w:val="24"/>
          <w:highlight w:val="none"/>
          <w:lang w:val="en-US"/>
        </w:rPr>
      </w:pPr>
      <w:r>
        <w:rPr>
          <w:rFonts w:hint="eastAsia" w:ascii="宋体" w:hAnsi="宋体"/>
          <w:b w:val="0"/>
          <w:bCs w:val="0"/>
          <w:color w:val="auto"/>
          <w:sz w:val="24"/>
          <w:szCs w:val="24"/>
          <w:highlight w:val="none"/>
          <w:lang w:val="en-US"/>
        </w:rPr>
        <w:t>一、</w:t>
      </w:r>
      <w:r>
        <w:rPr>
          <w:rFonts w:hint="eastAsia" w:ascii="宋体" w:hAnsi="宋体"/>
          <w:b w:val="0"/>
          <w:bCs w:val="0"/>
          <w:color w:val="auto"/>
          <w:sz w:val="24"/>
          <w:szCs w:val="24"/>
          <w:highlight w:val="none"/>
          <w:lang w:val="en-US" w:eastAsia="zh-CN"/>
        </w:rPr>
        <w:t>竞价人</w:t>
      </w:r>
      <w:r>
        <w:rPr>
          <w:rFonts w:hint="eastAsia" w:ascii="宋体" w:hAnsi="宋体"/>
          <w:b w:val="0"/>
          <w:bCs w:val="0"/>
          <w:color w:val="auto"/>
          <w:sz w:val="24"/>
          <w:szCs w:val="24"/>
          <w:highlight w:val="none"/>
          <w:lang w:val="en-US"/>
        </w:rPr>
        <w:t>应详细阅读</w:t>
      </w:r>
      <w:r>
        <w:rPr>
          <w:rFonts w:hint="eastAsia" w:ascii="宋体" w:hAnsi="宋体"/>
          <w:b w:val="0"/>
          <w:bCs w:val="0"/>
          <w:color w:val="auto"/>
          <w:sz w:val="24"/>
          <w:szCs w:val="24"/>
          <w:highlight w:val="none"/>
          <w:lang w:val="en-US" w:eastAsia="zh-CN"/>
        </w:rPr>
        <w:t>竞价文件</w:t>
      </w:r>
      <w:r>
        <w:rPr>
          <w:rFonts w:hint="eastAsia" w:ascii="宋体" w:hAnsi="宋体"/>
          <w:b w:val="0"/>
          <w:bCs w:val="0"/>
          <w:color w:val="auto"/>
          <w:sz w:val="24"/>
          <w:szCs w:val="24"/>
          <w:highlight w:val="none"/>
          <w:lang w:val="en-US"/>
        </w:rPr>
        <w:t>的全部内容，未按</w:t>
      </w:r>
      <w:r>
        <w:rPr>
          <w:rFonts w:hint="eastAsia" w:ascii="宋体" w:hAnsi="宋体"/>
          <w:b w:val="0"/>
          <w:bCs w:val="0"/>
          <w:color w:val="auto"/>
          <w:sz w:val="24"/>
          <w:szCs w:val="24"/>
          <w:highlight w:val="none"/>
          <w:lang w:val="en-US" w:eastAsia="zh-CN"/>
        </w:rPr>
        <w:t>竞价文件</w:t>
      </w:r>
      <w:r>
        <w:rPr>
          <w:rFonts w:hint="eastAsia" w:ascii="宋体" w:hAnsi="宋体"/>
          <w:b w:val="0"/>
          <w:bCs w:val="0"/>
          <w:color w:val="auto"/>
          <w:sz w:val="24"/>
          <w:szCs w:val="24"/>
          <w:highlight w:val="none"/>
          <w:lang w:val="en-US"/>
        </w:rPr>
        <w:t>要求提供资格证明文件和资料，可能导致</w:t>
      </w:r>
      <w:r>
        <w:rPr>
          <w:rFonts w:hint="eastAsia" w:ascii="宋体" w:hAnsi="宋体"/>
          <w:b w:val="0"/>
          <w:bCs w:val="0"/>
          <w:color w:val="auto"/>
          <w:sz w:val="24"/>
          <w:szCs w:val="24"/>
          <w:highlight w:val="none"/>
          <w:lang w:val="en-US" w:eastAsia="zh-CN"/>
        </w:rPr>
        <w:t>报价文件</w:t>
      </w:r>
      <w:r>
        <w:rPr>
          <w:rFonts w:hint="eastAsia" w:ascii="宋体" w:hAnsi="宋体"/>
          <w:b w:val="0"/>
          <w:bCs w:val="0"/>
          <w:color w:val="auto"/>
          <w:sz w:val="24"/>
          <w:szCs w:val="24"/>
          <w:highlight w:val="none"/>
          <w:lang w:val="en-US"/>
        </w:rPr>
        <w:t>无效。</w:t>
      </w:r>
    </w:p>
    <w:p w14:paraId="3A051C7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二、基本概况：</w:t>
      </w:r>
    </w:p>
    <w:p w14:paraId="51BA994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w:t>
      </w:r>
      <w:r>
        <w:rPr>
          <w:rFonts w:hint="eastAsia" w:ascii="宋体" w:hAnsi="宋体"/>
          <w:b w:val="0"/>
          <w:bCs w:val="0"/>
          <w:color w:val="auto"/>
          <w:sz w:val="24"/>
          <w:szCs w:val="24"/>
          <w:highlight w:val="none"/>
          <w:lang w:val="en-US" w:eastAsia="zh-CN"/>
        </w:rPr>
        <w:t>位于学术交流中心一、二层，产权证未办理，普通装修，其中，一层餐饮部建筑面积约820㎡，二层3个包间建筑面积约160㎡，一层大堂商务厅建筑面积约120㎡。地下室车库场所不计入出租面积，仅限作为酒店服务配套设施使用，经营内容须经招标人批准。</w:t>
      </w:r>
    </w:p>
    <w:p w14:paraId="09CB487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2、租期期限：租期为5年，给予</w:t>
      </w:r>
      <w:r>
        <w:rPr>
          <w:rFonts w:hint="eastAsia" w:ascii="宋体" w:hAnsi="宋体"/>
          <w:b w:val="0"/>
          <w:bCs w:val="0"/>
          <w:color w:val="auto"/>
          <w:sz w:val="24"/>
          <w:szCs w:val="24"/>
          <w:highlight w:val="none"/>
          <w:lang w:eastAsia="zh-CN"/>
        </w:rPr>
        <w:t>成交人</w:t>
      </w:r>
      <w:r>
        <w:rPr>
          <w:rFonts w:hint="eastAsia" w:ascii="宋体" w:hAnsi="宋体"/>
          <w:b w:val="0"/>
          <w:bCs w:val="0"/>
          <w:color w:val="auto"/>
          <w:sz w:val="24"/>
          <w:szCs w:val="24"/>
          <w:highlight w:val="none"/>
        </w:rPr>
        <w:t>2个月免租装修期（自交付场地之日起算）。第四、第五年在第三年租金基础上增</w:t>
      </w:r>
      <w:r>
        <w:rPr>
          <w:rFonts w:hint="eastAsia" w:ascii="宋体" w:hAnsi="宋体"/>
          <w:b w:val="0"/>
          <w:bCs w:val="0"/>
          <w:color w:val="auto"/>
          <w:sz w:val="24"/>
          <w:szCs w:val="24"/>
          <w:highlight w:val="none"/>
          <w:lang w:eastAsia="zh-CN"/>
        </w:rPr>
        <w:t>加</w:t>
      </w:r>
      <w:r>
        <w:rPr>
          <w:rFonts w:hint="eastAsia" w:ascii="宋体" w:hAnsi="宋体"/>
          <w:b w:val="0"/>
          <w:bCs w:val="0"/>
          <w:color w:val="auto"/>
          <w:sz w:val="24"/>
          <w:szCs w:val="24"/>
          <w:highlight w:val="none"/>
        </w:rPr>
        <w:t>5%。</w:t>
      </w:r>
    </w:p>
    <w:p w14:paraId="24207DCF">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三、出租要求：</w:t>
      </w:r>
    </w:p>
    <w:p w14:paraId="22B4203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、餐饮部的</w:t>
      </w:r>
      <w:r>
        <w:rPr>
          <w:rFonts w:hint="eastAsia" w:ascii="宋体" w:hAnsi="宋体"/>
          <w:b w:val="0"/>
          <w:bCs w:val="0"/>
          <w:color w:val="auto"/>
          <w:sz w:val="24"/>
          <w:szCs w:val="24"/>
          <w:highlight w:val="none"/>
          <w:lang w:eastAsia="zh-CN"/>
        </w:rPr>
        <w:t>成交人</w:t>
      </w:r>
      <w:r>
        <w:rPr>
          <w:rFonts w:hint="eastAsia" w:ascii="宋体" w:hAnsi="宋体"/>
          <w:b w:val="0"/>
          <w:bCs w:val="0"/>
          <w:color w:val="auto"/>
          <w:sz w:val="24"/>
          <w:szCs w:val="24"/>
          <w:highlight w:val="none"/>
        </w:rPr>
        <w:t>应提供客房部的早餐服务（早餐费用由客房部支付</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15元/人/天，按实际入住人数结算费用，2025年8月31日前成交的，9月1日起应提供早餐服务</w:t>
      </w:r>
      <w:r>
        <w:rPr>
          <w:rFonts w:hint="eastAsia" w:ascii="宋体" w:hAnsi="宋体"/>
          <w:b w:val="0"/>
          <w:bCs w:val="0"/>
          <w:color w:val="auto"/>
          <w:sz w:val="24"/>
          <w:szCs w:val="24"/>
          <w:highlight w:val="none"/>
        </w:rPr>
        <w:t>），同时具备承接团体用餐和商务餐的能力。</w:t>
      </w:r>
    </w:p>
    <w:p w14:paraId="4EAC138A">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成交人</w:t>
      </w:r>
      <w:r>
        <w:rPr>
          <w:rFonts w:hint="eastAsia" w:ascii="宋体" w:hAnsi="宋体"/>
          <w:b/>
          <w:bCs/>
          <w:color w:val="auto"/>
          <w:sz w:val="24"/>
          <w:szCs w:val="24"/>
          <w:highlight w:val="none"/>
        </w:rPr>
        <w:t>应在合同签订后3个月内，出资成立本公司所属的子公司（或公司的农大分店），并办理相关的经营资质，并将已办好的营业执照、卫生许可证、食品流通许可证等证照的复印件报送</w:t>
      </w:r>
      <w:r>
        <w:rPr>
          <w:rFonts w:hint="eastAsia" w:ascii="宋体" w:hAnsi="宋体"/>
          <w:b/>
          <w:bCs/>
          <w:color w:val="auto"/>
          <w:sz w:val="24"/>
          <w:szCs w:val="24"/>
          <w:highlight w:val="none"/>
          <w:lang w:val="en-US" w:eastAsia="zh-CN"/>
        </w:rPr>
        <w:t>招标人</w:t>
      </w:r>
      <w:r>
        <w:rPr>
          <w:rFonts w:hint="eastAsia" w:ascii="宋体" w:hAnsi="宋体"/>
          <w:b/>
          <w:bCs/>
          <w:color w:val="auto"/>
          <w:sz w:val="24"/>
          <w:szCs w:val="24"/>
          <w:highlight w:val="none"/>
        </w:rPr>
        <w:t>审核备案。未按时办理有关经营证照的，</w:t>
      </w:r>
      <w:r>
        <w:rPr>
          <w:rFonts w:hint="eastAsia" w:ascii="宋体" w:hAnsi="宋体"/>
          <w:b/>
          <w:bCs/>
          <w:color w:val="auto"/>
          <w:sz w:val="24"/>
          <w:szCs w:val="24"/>
          <w:highlight w:val="none"/>
          <w:lang w:val="en-US" w:eastAsia="zh-CN"/>
        </w:rPr>
        <w:t>招标人</w:t>
      </w:r>
      <w:r>
        <w:rPr>
          <w:rFonts w:hint="eastAsia" w:ascii="宋体" w:hAnsi="宋体"/>
          <w:b/>
          <w:bCs/>
          <w:color w:val="auto"/>
          <w:sz w:val="24"/>
          <w:szCs w:val="24"/>
          <w:highlight w:val="none"/>
        </w:rPr>
        <w:t>有权单方面解除承租合同</w:t>
      </w:r>
      <w:r>
        <w:rPr>
          <w:rFonts w:hint="eastAsia" w:ascii="宋体" w:hAnsi="宋体"/>
          <w:b w:val="0"/>
          <w:bCs w:val="0"/>
          <w:color w:val="auto"/>
          <w:sz w:val="24"/>
          <w:szCs w:val="24"/>
          <w:highlight w:val="none"/>
        </w:rPr>
        <w:t>。</w:t>
      </w:r>
    </w:p>
    <w:p w14:paraId="1A50331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eastAsia="zh-CN"/>
        </w:rPr>
        <w:t>成交人</w:t>
      </w:r>
      <w:r>
        <w:rPr>
          <w:rFonts w:hint="eastAsia" w:ascii="宋体" w:hAnsi="宋体"/>
          <w:b w:val="0"/>
          <w:bCs w:val="0"/>
          <w:color w:val="auto"/>
          <w:sz w:val="24"/>
          <w:szCs w:val="24"/>
          <w:highlight w:val="none"/>
        </w:rPr>
        <w:t>必须投入资金80万元进行餐厅部分改造升级，并在开业三个月后出具第三方评估机构的报告，送达校方审核。若投资金额不足80万元，差额部分应补交给</w:t>
      </w:r>
      <w:r>
        <w:rPr>
          <w:rFonts w:hint="eastAsia" w:ascii="宋体" w:hAnsi="宋体"/>
          <w:b w:val="0"/>
          <w:bCs w:val="0"/>
          <w:color w:val="auto"/>
          <w:sz w:val="24"/>
          <w:szCs w:val="24"/>
          <w:highlight w:val="none"/>
          <w:lang w:eastAsia="zh-CN"/>
        </w:rPr>
        <w:t>招标人</w:t>
      </w:r>
      <w:r>
        <w:rPr>
          <w:rFonts w:hint="eastAsia" w:ascii="宋体" w:hAnsi="宋体"/>
          <w:b w:val="0"/>
          <w:bCs w:val="0"/>
          <w:color w:val="auto"/>
          <w:sz w:val="24"/>
          <w:szCs w:val="24"/>
          <w:highlight w:val="none"/>
        </w:rPr>
        <w:t>。</w:t>
      </w:r>
    </w:p>
    <w:p w14:paraId="74538705">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4、招标人不保证标的房产的现有装修状况，以标的房产现有的空间面积和移交时的状况出租。本房屋未办理单一建筑物产权证，成交人需自行负责办理经营相关资质、营业执照等。</w:t>
      </w:r>
    </w:p>
    <w:p w14:paraId="090BBA03">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5、成交人应自行承担装修费用，装修改造方案经福建农大科技开发有限公司书面同意后方可施工，且符合消防安全标准。</w:t>
      </w:r>
    </w:p>
    <w:p w14:paraId="7EAD8A24">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6、成交人须承诺承租期间对所租赁的标的房产在租赁期限内仅拥有使用权，不得擅自改变用途，不得以任何形式转租、转让或分割出租。</w:t>
      </w:r>
    </w:p>
    <w:p w14:paraId="62BEB3A8">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7、水电独立分户，由成交人设立分表（改造费用由成交人承担），并自行承担水电费用。若需电量增容，由成交人与校方水电管理部门协商增容方案，电量增容费用由成交人承担。水电改造方案通过校方水电管理部门批准后方可施工。水电开户由成交人自行到校方水电管理部门办理。</w:t>
      </w:r>
    </w:p>
    <w:p w14:paraId="77551D55">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8、租金缴交：租金实行先交后用原则，每季度开始前10个工作日内缴交一次，履约保证金为12个月的成交租金。</w:t>
      </w:r>
    </w:p>
    <w:p w14:paraId="4AF8224B">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9、成交人可进行门面房改造、装修。成交人须遵守以下规定：</w:t>
      </w:r>
    </w:p>
    <w:p w14:paraId="5EA8E7DF">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（1）改造、装修不得破坏房屋结构，不得影响校园环境；</w:t>
      </w:r>
    </w:p>
    <w:p w14:paraId="0C8962B8">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 成交人根据经营范围自行对店面内部进行装修，方案须招标人确认；店面招牌须由成交人提供设计图纸，经招标人确认后方可实施。</w:t>
      </w:r>
    </w:p>
    <w:p w14:paraId="6B11CDD1">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（3）改造、装修过程中涉及的所有费用由成交人自行承担；</w:t>
      </w:r>
    </w:p>
    <w:p w14:paraId="1C17EA1A">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（4）承租期满或合同终止、解除时，成交人不得拆除或损坏任何装修及因装修形成的附属的设备、设施，无偿归招标人所有；</w:t>
      </w:r>
    </w:p>
    <w:p w14:paraId="5FC006DB">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（5）建筑物内部属成交人购置的除前款之外的可移动物品或经营设施，承租期满后成交人可自行搬走，也可与新的成交人协商处理上述购置物的转让事宜，招标人不予干涉。</w:t>
      </w:r>
    </w:p>
    <w:p w14:paraId="6E1AA7B0">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10、承租期间，因成交人经营或与经营相关的任何应支付的水费、电费、煤气费、电话费、网络通讯费、电视收视费、卫生费、物业费等各种行政性收费及涉及承租期间可能产生的其他任何费用均由成交人负责承担。</w:t>
      </w:r>
    </w:p>
    <w:p w14:paraId="057F7C16">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11、成交人在承租期间因房屋的装修和经营期间所涉及的任何消防问题由成交人自行负担费用妥善解决，并应当确保其经营场所的装修及消防设备、设施安装和配备符合相关国家消防行政部门的要求和规定，并由成交人自行负责验收合格。</w:t>
      </w:r>
    </w:p>
    <w:p w14:paraId="208456B7">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12、成交人在承租期间，场所内发生一切关于消防、治安、爆炸、盗窃、打架斗殴以及与成交人经营活动有关的大小事故均由成交人自行负责解决和承担责任，并由成交人承担因此产生的一切罚款和赔偿责任。</w:t>
      </w:r>
    </w:p>
    <w:p w14:paraId="0D9A6A83">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13、承租期间，成交人应当切实保障承租房屋及所涉附属设施的安全，妥善正当地使用房屋。无论何等原因在成交人承租期间若导致发生火灾、爆炸等安全事故对房屋及其设施造成损坏的，由成交人负责赔偿并负其法律责任。</w:t>
      </w:r>
    </w:p>
    <w:p w14:paraId="430B25EC">
      <w:pPr>
        <w:spacing w:line="440" w:lineRule="exact"/>
        <w:ind w:firstLine="481"/>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14、其他未涉及事宜，以双方签订的合同为准。</w:t>
      </w:r>
    </w:p>
    <w:p w14:paraId="23BF067F">
      <w:pPr>
        <w:spacing w:line="440" w:lineRule="exact"/>
        <w:ind w:firstLine="481"/>
        <w:rPr>
          <w:rFonts w:hint="eastAsia" w:ascii="宋体" w:hAnsi="宋体"/>
          <w:b/>
          <w:bCs/>
          <w:color w:val="auto"/>
          <w:sz w:val="24"/>
          <w:szCs w:val="24"/>
          <w:highlight w:val="none"/>
        </w:rPr>
      </w:pPr>
    </w:p>
    <w:p w14:paraId="2ED2B837">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招标</w:t>
      </w:r>
      <w:r>
        <w:rPr>
          <w:rFonts w:hint="eastAsia" w:ascii="宋体" w:hAnsi="宋体"/>
          <w:b/>
          <w:bCs/>
          <w:color w:val="auto"/>
          <w:sz w:val="24"/>
          <w:szCs w:val="24"/>
          <w:highlight w:val="none"/>
        </w:rPr>
        <w:t>代理服务费</w:t>
      </w:r>
    </w:p>
    <w:p w14:paraId="59FC64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w:t>
      </w:r>
      <w:r>
        <w:rPr>
          <w:rFonts w:hint="eastAsia" w:ascii="宋体" w:hAnsi="宋体"/>
          <w:b/>
          <w:color w:val="auto"/>
          <w:sz w:val="24"/>
          <w:szCs w:val="24"/>
          <w:highlight w:val="none"/>
          <w:lang w:eastAsia="zh-CN"/>
        </w:rPr>
        <w:t>参照中华人民共和国国家计划委员会（计价格〔2002〕1980号）文件规定，</w:t>
      </w:r>
      <w:r>
        <w:rPr>
          <w:rFonts w:hint="eastAsia" w:ascii="宋体" w:hAnsi="宋体"/>
          <w:b/>
          <w:color w:val="auto"/>
          <w:sz w:val="24"/>
          <w:szCs w:val="24"/>
          <w:highlight w:val="none"/>
          <w:lang w:val="en-US" w:eastAsia="zh-CN"/>
        </w:rPr>
        <w:t>成交</w:t>
      </w:r>
      <w:r>
        <w:rPr>
          <w:rFonts w:hint="eastAsia" w:ascii="宋体" w:hAnsi="宋体"/>
          <w:b/>
          <w:color w:val="auto"/>
          <w:sz w:val="24"/>
          <w:szCs w:val="24"/>
          <w:highlight w:val="none"/>
          <w:lang w:eastAsia="zh-CN"/>
        </w:rPr>
        <w:t>人在领取</w:t>
      </w:r>
      <w:r>
        <w:rPr>
          <w:rFonts w:hint="eastAsia" w:ascii="宋体" w:hAnsi="宋体"/>
          <w:b/>
          <w:color w:val="auto"/>
          <w:sz w:val="24"/>
          <w:szCs w:val="24"/>
          <w:highlight w:val="none"/>
          <w:lang w:val="en-US" w:eastAsia="zh-CN"/>
        </w:rPr>
        <w:t>成交</w:t>
      </w:r>
      <w:r>
        <w:rPr>
          <w:rFonts w:hint="eastAsia" w:ascii="宋体" w:hAnsi="宋体"/>
          <w:b/>
          <w:color w:val="auto"/>
          <w:sz w:val="24"/>
          <w:szCs w:val="24"/>
          <w:highlight w:val="none"/>
          <w:lang w:eastAsia="zh-CN"/>
        </w:rPr>
        <w:t>通知书时按合同包向招标代理公司缴纳</w:t>
      </w:r>
      <w:r>
        <w:rPr>
          <w:rFonts w:hint="eastAsia" w:ascii="宋体" w:hAnsi="宋体"/>
          <w:b/>
          <w:bCs/>
          <w:color w:val="auto"/>
          <w:sz w:val="24"/>
          <w:szCs w:val="24"/>
          <w:highlight w:val="none"/>
          <w:lang w:eastAsia="zh-CN"/>
        </w:rPr>
        <w:t>招标</w:t>
      </w:r>
      <w:r>
        <w:rPr>
          <w:rFonts w:hint="eastAsia" w:ascii="宋体" w:hAnsi="宋体"/>
          <w:b/>
          <w:bCs/>
          <w:color w:val="auto"/>
          <w:sz w:val="24"/>
          <w:szCs w:val="24"/>
          <w:highlight w:val="none"/>
        </w:rPr>
        <w:t>代理服务费</w:t>
      </w:r>
      <w:r>
        <w:rPr>
          <w:rFonts w:hint="eastAsia" w:ascii="宋体" w:hAnsi="宋体"/>
          <w:b/>
          <w:color w:val="auto"/>
          <w:sz w:val="24"/>
          <w:szCs w:val="24"/>
          <w:highlight w:val="none"/>
          <w:lang w:eastAsia="zh-CN"/>
        </w:rPr>
        <w:t>。（即合同包</w:t>
      </w:r>
      <w:r>
        <w:rPr>
          <w:rFonts w:hint="eastAsia" w:ascii="宋体" w:hAnsi="宋体"/>
          <w:b/>
          <w:color w:val="auto"/>
          <w:sz w:val="24"/>
          <w:szCs w:val="24"/>
          <w:highlight w:val="none"/>
          <w:lang w:val="en-US" w:eastAsia="zh-CN"/>
        </w:rPr>
        <w:t>一五年总租金</w:t>
      </w:r>
      <w:r>
        <w:rPr>
          <w:rFonts w:hint="eastAsia" w:ascii="宋体" w:hAnsi="宋体"/>
          <w:b/>
          <w:color w:val="auto"/>
          <w:sz w:val="24"/>
          <w:szCs w:val="24"/>
          <w:highlight w:val="none"/>
          <w:lang w:eastAsia="zh-CN"/>
        </w:rPr>
        <w:t>×1.5%=合同包</w:t>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lang w:eastAsia="zh-CN"/>
        </w:rPr>
        <w:t>的</w:t>
      </w:r>
      <w:r>
        <w:rPr>
          <w:rFonts w:hint="eastAsia" w:ascii="宋体" w:hAnsi="宋体"/>
          <w:b/>
          <w:color w:val="auto"/>
          <w:sz w:val="24"/>
          <w:szCs w:val="24"/>
          <w:highlight w:val="none"/>
          <w:lang w:val="en-US" w:eastAsia="zh-CN"/>
        </w:rPr>
        <w:t>代理</w:t>
      </w:r>
      <w:r>
        <w:rPr>
          <w:rFonts w:hint="eastAsia" w:ascii="宋体" w:hAnsi="宋体"/>
          <w:b/>
          <w:color w:val="auto"/>
          <w:sz w:val="24"/>
          <w:szCs w:val="24"/>
          <w:highlight w:val="none"/>
          <w:lang w:eastAsia="zh-CN"/>
        </w:rPr>
        <w:t>服务费），项目的</w:t>
      </w: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lang w:eastAsia="zh-CN"/>
        </w:rPr>
        <w:t>年总租金金额超过100万元的</w:t>
      </w:r>
      <w:r>
        <w:rPr>
          <w:rFonts w:hint="eastAsia" w:ascii="宋体" w:hAnsi="宋体"/>
          <w:b/>
          <w:color w:val="auto"/>
          <w:sz w:val="24"/>
          <w:szCs w:val="24"/>
          <w:highlight w:val="none"/>
          <w:lang w:val="en-US" w:eastAsia="zh-CN"/>
        </w:rPr>
        <w:t>部分按0.8%计算，</w:t>
      </w:r>
      <w:r>
        <w:rPr>
          <w:rFonts w:hint="eastAsia" w:ascii="宋体" w:hAnsi="宋体"/>
          <w:b/>
          <w:color w:val="auto"/>
          <w:sz w:val="24"/>
          <w:szCs w:val="24"/>
          <w:highlight w:val="none"/>
          <w:lang w:eastAsia="zh-CN"/>
        </w:rPr>
        <w:t>按差额累进法计算</w:t>
      </w:r>
      <w:r>
        <w:rPr>
          <w:rFonts w:hint="eastAsia" w:ascii="宋体" w:hAnsi="宋体"/>
          <w:b/>
          <w:color w:val="auto"/>
          <w:sz w:val="24"/>
          <w:szCs w:val="24"/>
          <w:highlight w:val="none"/>
        </w:rPr>
        <w:t>。</w:t>
      </w:r>
    </w:p>
    <w:p w14:paraId="52BAEAA6">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2、成交</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应以转账等付款方式一次性向</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代理机构支付</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 xml:space="preserve">代理服务费。 </w:t>
      </w:r>
    </w:p>
    <w:p w14:paraId="68D5FB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08DD1553">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5700E95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5BB11255">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48C9921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0964D45C">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908CF55">
      <w:pPr>
        <w:widowControl/>
        <w:spacing w:line="375" w:lineRule="atLeas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资格标准</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w:t>
      </w:r>
    </w:p>
    <w:p w14:paraId="7F6376F1">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7A4004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1ED4ED06">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40D6A4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1、竞价人须打印报价文件签字确认并每页加盖公章后扫描上传报价文件（电子档Jpg或pdf或文件夹压缩包RAR），包括但不限于以下内容：统一社会信用代码营业执照、法人代表授权书</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法人及授权人身份证</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）依法缴纳税收和社会保障资金的证明材料或具备依法缴纳税收及社会保障资金的承诺函、竞价书、竞价人声明、竞价一览表。未按上述条款要求扫描上传报价文件的竞价无效。电子报价文档具有法律效力。</w:t>
      </w:r>
    </w:p>
    <w:p w14:paraId="6C7C5B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5A3D631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954F3B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2848249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代理机构将</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人提出的</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需求在中国招标投标公共服务平台（http://www.cebpubservice.com</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（https://ygcg.fjcqjy.com</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、福建省金丰招标代理有限公司</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http://www.fjjfjt.com</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w:t>
      </w:r>
      <w:r>
        <w:rPr>
          <w:rFonts w:hint="eastAsia" w:ascii="宋体" w:hAnsi="宋体" w:cs="宋体"/>
          <w:bCs/>
          <w:color w:val="auto"/>
          <w:kern w:val="0"/>
          <w:sz w:val="24"/>
          <w:szCs w:val="24"/>
          <w:highlight w:val="none"/>
          <w:lang w:eastAsia="zh-CN"/>
        </w:rPr>
        <w:t>不能</w:t>
      </w:r>
      <w:r>
        <w:rPr>
          <w:rFonts w:hint="eastAsia" w:ascii="宋体" w:hAnsi="宋体" w:cs="宋体"/>
          <w:bCs/>
          <w:color w:val="auto"/>
          <w:kern w:val="0"/>
          <w:sz w:val="24"/>
          <w:szCs w:val="24"/>
          <w:highlight w:val="none"/>
          <w:lang w:val="en-US" w:eastAsia="zh-CN"/>
        </w:rPr>
        <w:t>低于</w:t>
      </w:r>
      <w:r>
        <w:rPr>
          <w:rFonts w:ascii="宋体" w:hAnsi="宋体" w:cs="宋体"/>
          <w:bCs/>
          <w:color w:val="auto"/>
          <w:kern w:val="0"/>
          <w:sz w:val="24"/>
          <w:szCs w:val="24"/>
          <w:highlight w:val="none"/>
        </w:rPr>
        <w:t>公告</w:t>
      </w:r>
      <w:r>
        <w:rPr>
          <w:rFonts w:hint="eastAsia" w:ascii="宋体" w:hAnsi="宋体" w:cs="宋体"/>
          <w:bCs/>
          <w:color w:val="auto"/>
          <w:kern w:val="0"/>
          <w:sz w:val="24"/>
          <w:szCs w:val="24"/>
          <w:highlight w:val="none"/>
          <w:lang w:eastAsia="zh-CN"/>
        </w:rPr>
        <w:t>最低限价</w:t>
      </w:r>
      <w:r>
        <w:rPr>
          <w:rFonts w:ascii="宋体" w:hAnsi="宋体" w:cs="宋体"/>
          <w:bCs/>
          <w:color w:val="auto"/>
          <w:kern w:val="0"/>
          <w:sz w:val="24"/>
          <w:szCs w:val="24"/>
          <w:highlight w:val="none"/>
        </w:rPr>
        <w:t>，报价</w:t>
      </w:r>
      <w:r>
        <w:rPr>
          <w:rFonts w:hint="eastAsia" w:ascii="宋体" w:hAnsi="宋体" w:cs="宋体"/>
          <w:bCs/>
          <w:color w:val="auto"/>
          <w:kern w:val="0"/>
          <w:sz w:val="24"/>
          <w:szCs w:val="24"/>
          <w:highlight w:val="none"/>
          <w:lang w:eastAsia="zh-CN"/>
        </w:rPr>
        <w:t>单价</w:t>
      </w:r>
      <w:r>
        <w:rPr>
          <w:rFonts w:ascii="宋体" w:hAnsi="宋体" w:cs="宋体"/>
          <w:bCs/>
          <w:color w:val="auto"/>
          <w:kern w:val="0"/>
          <w:sz w:val="24"/>
          <w:szCs w:val="24"/>
          <w:highlight w:val="none"/>
        </w:rPr>
        <w:t>不能</w:t>
      </w:r>
      <w:r>
        <w:rPr>
          <w:rFonts w:hint="eastAsia" w:ascii="宋体" w:hAnsi="宋体" w:cs="宋体"/>
          <w:bCs/>
          <w:color w:val="auto"/>
          <w:kern w:val="0"/>
          <w:sz w:val="24"/>
          <w:szCs w:val="24"/>
          <w:highlight w:val="none"/>
          <w:lang w:val="en-US" w:eastAsia="zh-CN"/>
        </w:rPr>
        <w:t>低于</w:t>
      </w:r>
      <w:r>
        <w:rPr>
          <w:rFonts w:ascii="宋体" w:hAnsi="宋体" w:cs="宋体"/>
          <w:bCs/>
          <w:color w:val="auto"/>
          <w:kern w:val="0"/>
          <w:sz w:val="24"/>
          <w:szCs w:val="24"/>
          <w:highlight w:val="none"/>
        </w:rPr>
        <w:t>竞价文件的</w:t>
      </w:r>
      <w:r>
        <w:rPr>
          <w:rFonts w:hint="eastAsia" w:ascii="宋体" w:hAnsi="宋体" w:cs="宋体"/>
          <w:bCs/>
          <w:color w:val="auto"/>
          <w:kern w:val="0"/>
          <w:sz w:val="24"/>
          <w:szCs w:val="24"/>
          <w:highlight w:val="none"/>
          <w:lang w:eastAsia="zh-CN"/>
        </w:rPr>
        <w:t>年最低限价</w:t>
      </w:r>
      <w:r>
        <w:rPr>
          <w:rFonts w:ascii="宋体" w:hAnsi="宋体" w:cs="宋体"/>
          <w:bCs/>
          <w:color w:val="auto"/>
          <w:kern w:val="0"/>
          <w:sz w:val="24"/>
          <w:szCs w:val="24"/>
          <w:highlight w:val="none"/>
        </w:rPr>
        <w:t>，否则，视为无效报价</w:t>
      </w:r>
      <w:r>
        <w:rPr>
          <w:rFonts w:hint="eastAsia" w:ascii="宋体" w:hAnsi="宋体" w:cs="宋体"/>
          <w:bCs/>
          <w:color w:val="auto"/>
          <w:kern w:val="0"/>
          <w:sz w:val="24"/>
          <w:szCs w:val="24"/>
          <w:highlight w:val="none"/>
        </w:rPr>
        <w:t>；在符合</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需求且报价有效的前提下，报价最</w:t>
      </w:r>
      <w:r>
        <w:rPr>
          <w:rFonts w:hint="eastAsia" w:ascii="宋体" w:hAnsi="宋体" w:cs="宋体"/>
          <w:bCs/>
          <w:color w:val="auto"/>
          <w:kern w:val="0"/>
          <w:sz w:val="24"/>
          <w:szCs w:val="24"/>
          <w:highlight w:val="none"/>
          <w:lang w:val="en-US" w:eastAsia="zh-CN"/>
        </w:rPr>
        <w:t>高</w:t>
      </w:r>
      <w:r>
        <w:rPr>
          <w:rFonts w:hint="eastAsia" w:ascii="宋体" w:hAnsi="宋体" w:cs="宋体"/>
          <w:bCs/>
          <w:color w:val="auto"/>
          <w:kern w:val="0"/>
          <w:sz w:val="24"/>
          <w:szCs w:val="24"/>
          <w:highlight w:val="none"/>
        </w:rPr>
        <w:t>者成交（报价相同的，以报价时间优先者成交）。</w:t>
      </w:r>
    </w:p>
    <w:p w14:paraId="1E8A26B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w:t>
      </w:r>
      <w:r>
        <w:rPr>
          <w:rFonts w:hint="eastAsia" w:ascii="宋体" w:hAnsi="宋体" w:cs="宋体"/>
          <w:bCs/>
          <w:color w:val="auto"/>
          <w:kern w:val="0"/>
          <w:sz w:val="24"/>
          <w:szCs w:val="24"/>
          <w:highlight w:val="none"/>
          <w:lang w:val="en-US" w:eastAsia="zh-CN"/>
        </w:rPr>
        <w:t>高</w:t>
      </w:r>
      <w:r>
        <w:rPr>
          <w:rFonts w:hint="eastAsia" w:ascii="宋体" w:hAnsi="宋体" w:cs="宋体"/>
          <w:bCs/>
          <w:color w:val="auto"/>
          <w:kern w:val="0"/>
          <w:sz w:val="24"/>
          <w:szCs w:val="24"/>
          <w:highlight w:val="none"/>
        </w:rPr>
        <w:t>。</w:t>
      </w:r>
    </w:p>
    <w:p w14:paraId="2B8EEBD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11B709F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35E763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w:t>
      </w:r>
      <w:r>
        <w:rPr>
          <w:rFonts w:hint="eastAsia" w:ascii="宋体" w:hAnsi="宋体" w:cs="宋体"/>
          <w:bCs/>
          <w:color w:val="auto"/>
          <w:kern w:val="0"/>
          <w:sz w:val="24"/>
          <w:szCs w:val="24"/>
          <w:highlight w:val="none"/>
          <w:lang w:val="en-US" w:eastAsia="zh-CN"/>
        </w:rPr>
        <w:t>高</w:t>
      </w:r>
      <w:r>
        <w:rPr>
          <w:rFonts w:ascii="宋体" w:hAnsi="宋体" w:cs="宋体"/>
          <w:bCs/>
          <w:color w:val="auto"/>
          <w:kern w:val="0"/>
          <w:sz w:val="24"/>
          <w:szCs w:val="24"/>
          <w:highlight w:val="none"/>
        </w:rPr>
        <w:t>报价</w:t>
      </w:r>
      <w:r>
        <w:rPr>
          <w:rFonts w:hint="eastAsia" w:ascii="宋体" w:hAnsi="宋体" w:cs="宋体"/>
          <w:bCs/>
          <w:color w:val="auto"/>
          <w:kern w:val="0"/>
          <w:sz w:val="24"/>
          <w:szCs w:val="24"/>
          <w:highlight w:val="none"/>
          <w:lang w:eastAsia="zh-CN"/>
        </w:rPr>
        <w:t>，</w:t>
      </w:r>
      <w:r>
        <w:rPr>
          <w:rFonts w:ascii="宋体" w:hAnsi="宋体" w:cs="宋体"/>
          <w:bCs/>
          <w:color w:val="auto"/>
          <w:kern w:val="0"/>
          <w:sz w:val="24"/>
          <w:szCs w:val="24"/>
          <w:highlight w:val="none"/>
        </w:rPr>
        <w:t>按价格最</w:t>
      </w:r>
      <w:r>
        <w:rPr>
          <w:rFonts w:hint="eastAsia" w:ascii="宋体" w:hAnsi="宋体" w:cs="宋体"/>
          <w:bCs/>
          <w:color w:val="auto"/>
          <w:kern w:val="0"/>
          <w:sz w:val="24"/>
          <w:szCs w:val="24"/>
          <w:highlight w:val="none"/>
          <w:lang w:val="en-US" w:eastAsia="zh-CN"/>
        </w:rPr>
        <w:t>高</w:t>
      </w:r>
      <w:r>
        <w:rPr>
          <w:rFonts w:ascii="宋体" w:hAnsi="宋体" w:cs="宋体"/>
          <w:bCs/>
          <w:color w:val="auto"/>
          <w:kern w:val="0"/>
          <w:sz w:val="24"/>
          <w:szCs w:val="24"/>
          <w:highlight w:val="none"/>
        </w:rPr>
        <w:t>者成交（报价相同者以时间先后顺序确定）确认。</w:t>
      </w:r>
    </w:p>
    <w:p w14:paraId="351670A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4E837C0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2693CBB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539C0FC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2AFBB3B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BEDD7BD">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79DA53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相关法规，若竞价人违反规定，将按有关规定处理。</w:t>
      </w:r>
    </w:p>
    <w:p w14:paraId="419C9C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、竞价人已详细审查全部竞价公告，包括修改竞价公告</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如有的话</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和有关附件，将自行承担因对全部竞价公告理解不正确或误解而产生的相应后果。</w:t>
      </w:r>
    </w:p>
    <w:p w14:paraId="7CA1FF2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、竞价人同意提供按照</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代理机构可能要求的与其竞价有关的一切数据或资料，完全理解</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代理机构不一定要接受最</w:t>
      </w:r>
      <w:r>
        <w:rPr>
          <w:rFonts w:hint="eastAsia" w:ascii="宋体" w:hAnsi="宋体" w:cs="宋体"/>
          <w:bCs/>
          <w:color w:val="auto"/>
          <w:kern w:val="0"/>
          <w:sz w:val="24"/>
          <w:szCs w:val="24"/>
          <w:highlight w:val="none"/>
          <w:lang w:val="en-US" w:eastAsia="zh-CN"/>
        </w:rPr>
        <w:t>高</w:t>
      </w:r>
      <w:r>
        <w:rPr>
          <w:rFonts w:hint="eastAsia" w:ascii="宋体" w:hAnsi="宋体" w:cs="宋体"/>
          <w:bCs/>
          <w:color w:val="auto"/>
          <w:kern w:val="0"/>
          <w:sz w:val="24"/>
          <w:szCs w:val="24"/>
          <w:highlight w:val="none"/>
        </w:rPr>
        <w:t>的竞价。</w:t>
      </w:r>
    </w:p>
    <w:p w14:paraId="24C073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1B7AA6F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代理机构以成交结果通知书等方式书面通知</w:t>
      </w:r>
      <w:r>
        <w:rPr>
          <w:rFonts w:hint="eastAsia" w:ascii="宋体" w:hAnsi="宋体" w:cs="宋体"/>
          <w:bCs/>
          <w:color w:val="auto"/>
          <w:kern w:val="0"/>
          <w:sz w:val="24"/>
          <w:szCs w:val="24"/>
          <w:highlight w:val="none"/>
          <w:lang w:eastAsia="zh-CN"/>
        </w:rPr>
        <w:t>招标人</w:t>
      </w:r>
      <w:r>
        <w:rPr>
          <w:rFonts w:hint="eastAsia" w:ascii="宋体" w:hAnsi="宋体" w:cs="宋体"/>
          <w:bCs/>
          <w:color w:val="auto"/>
          <w:kern w:val="0"/>
          <w:sz w:val="24"/>
          <w:szCs w:val="24"/>
          <w:highlight w:val="none"/>
        </w:rPr>
        <w:t>。同时将成交结果等信息在</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720AF72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w:t>
      </w:r>
      <w:r>
        <w:rPr>
          <w:rFonts w:hint="eastAsia" w:ascii="宋体" w:hAnsi="宋体" w:cs="宋体"/>
          <w:bCs/>
          <w:color w:val="auto"/>
          <w:kern w:val="0"/>
          <w:sz w:val="24"/>
          <w:szCs w:val="24"/>
          <w:highlight w:val="none"/>
          <w:lang w:eastAsia="zh-CN"/>
        </w:rPr>
        <w:t>人</w:t>
      </w:r>
      <w:r>
        <w:rPr>
          <w:rFonts w:hint="eastAsia" w:ascii="宋体" w:hAnsi="宋体" w:cs="宋体"/>
          <w:bCs/>
          <w:color w:val="auto"/>
          <w:kern w:val="0"/>
          <w:sz w:val="24"/>
          <w:szCs w:val="24"/>
          <w:highlight w:val="none"/>
        </w:rPr>
        <w:t>即可携带网上竞价项目报价文件（一式三份）至</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代理机构处领取成交通知书。竞价人携带的网上竞价项目报价文件包括但不限于以下内容：统一社会信用代码营业执照、法人代表授权书</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法人及授权人身份证</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、财务状况报告或具备财务状况的承诺函、近期（提交报价文件截止时间前六个月任意一个月</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不含竞价截止时间的当月）依法缴纳税收和社会保障资金的证明材料或具备依法缴纳税收及社会保障资金的承诺函、竞价书、竞价人声明、竞价一览表。以上材料必须加盖报价单位公章，并由竞价人的法定代表人（或其授权代表）签字。报价文件须加盖骑缝章，且装订成册。</w:t>
      </w:r>
    </w:p>
    <w:p w14:paraId="3B4D0EB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915812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2万</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不接受现金、现金存款形式提交</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3459366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w:t>
      </w:r>
      <w:r>
        <w:rPr>
          <w:rFonts w:hint="eastAsia" w:ascii="宋体" w:hAnsi="宋体" w:cs="宋体"/>
          <w:bCs/>
          <w:color w:val="auto"/>
          <w:kern w:val="0"/>
          <w:sz w:val="24"/>
          <w:szCs w:val="24"/>
          <w:highlight w:val="none"/>
          <w:lang w:eastAsia="zh-CN"/>
        </w:rPr>
        <w:t>人</w:t>
      </w:r>
      <w:r>
        <w:rPr>
          <w:rFonts w:hint="eastAsia" w:ascii="宋体" w:hAnsi="宋体" w:cs="宋体"/>
          <w:bCs/>
          <w:color w:val="auto"/>
          <w:kern w:val="0"/>
          <w:sz w:val="24"/>
          <w:szCs w:val="24"/>
          <w:highlight w:val="none"/>
        </w:rPr>
        <w:t>在向</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代理机构提供合同后可申请无息退回。</w:t>
      </w:r>
    </w:p>
    <w:p w14:paraId="20408F48">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1C6DBF9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w:t>
      </w:r>
      <w:r>
        <w:rPr>
          <w:rFonts w:hint="eastAsia" w:ascii="宋体" w:hAnsi="宋体" w:cs="宋体"/>
          <w:bCs/>
          <w:color w:val="auto"/>
          <w:kern w:val="0"/>
          <w:sz w:val="24"/>
          <w:szCs w:val="24"/>
          <w:highlight w:val="none"/>
          <w:lang w:val="en-US" w:eastAsia="zh-CN"/>
        </w:rPr>
        <w:t>竞价</w:t>
      </w:r>
      <w:r>
        <w:rPr>
          <w:rFonts w:hint="eastAsia" w:ascii="宋体" w:hAnsi="宋体" w:cs="宋体"/>
          <w:bCs/>
          <w:color w:val="auto"/>
          <w:kern w:val="0"/>
          <w:sz w:val="24"/>
          <w:szCs w:val="24"/>
          <w:highlight w:val="none"/>
        </w:rPr>
        <w:t>过程、成交结果使自己的权益受到损害的</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参照政府质疑和投诉办法的有关</w:t>
      </w:r>
      <w:r>
        <w:rPr>
          <w:rFonts w:hint="eastAsia" w:ascii="宋体" w:hAnsi="宋体" w:cs="宋体"/>
          <w:bCs/>
          <w:color w:val="auto"/>
          <w:kern w:val="0"/>
          <w:sz w:val="24"/>
          <w:szCs w:val="24"/>
          <w:highlight w:val="none"/>
          <w:lang w:eastAsia="zh-CN"/>
        </w:rPr>
        <w:t>规定</w:t>
      </w:r>
      <w:r>
        <w:rPr>
          <w:rFonts w:hint="eastAsia" w:ascii="宋体" w:hAnsi="宋体" w:cs="宋体"/>
          <w:bCs/>
          <w:color w:val="auto"/>
          <w:kern w:val="0"/>
          <w:sz w:val="24"/>
          <w:szCs w:val="24"/>
          <w:highlight w:val="none"/>
        </w:rPr>
        <w:t>以书面形式向</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人、</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代理机构提出质疑。</w:t>
      </w:r>
    </w:p>
    <w:p w14:paraId="3DC1BD7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以下简称质疑竞价人</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应当是参与本项目</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活动的竞价人。</w:t>
      </w:r>
    </w:p>
    <w:p w14:paraId="49F3675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可以对该竞价文件提出质疑。未参加竞价的</w:t>
      </w:r>
      <w:r>
        <w:rPr>
          <w:rFonts w:hint="eastAsia" w:ascii="宋体" w:hAnsi="宋体" w:cs="宋体"/>
          <w:bCs/>
          <w:color w:val="auto"/>
          <w:kern w:val="0"/>
          <w:sz w:val="24"/>
          <w:szCs w:val="24"/>
          <w:highlight w:val="none"/>
          <w:lang w:eastAsia="zh-CN"/>
        </w:rPr>
        <w:t>竞价人</w:t>
      </w:r>
      <w:r>
        <w:rPr>
          <w:rFonts w:hint="eastAsia" w:ascii="宋体" w:hAnsi="宋体" w:cs="宋体"/>
          <w:bCs/>
          <w:color w:val="auto"/>
          <w:kern w:val="0"/>
          <w:sz w:val="24"/>
          <w:szCs w:val="24"/>
          <w:highlight w:val="none"/>
        </w:rPr>
        <w:t>（或未报名的潜在竞价人）的质疑函将不予受理。</w:t>
      </w:r>
    </w:p>
    <w:p w14:paraId="29641B3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w:t>
      </w:r>
      <w:r>
        <w:rPr>
          <w:rFonts w:hint="eastAsia" w:ascii="宋体" w:hAnsi="宋体" w:cs="宋体"/>
          <w:bCs/>
          <w:color w:val="auto"/>
          <w:kern w:val="0"/>
          <w:sz w:val="24"/>
          <w:szCs w:val="24"/>
          <w:highlight w:val="none"/>
          <w:lang w:val="en-US" w:eastAsia="zh-CN"/>
        </w:rPr>
        <w:t>竞价</w:t>
      </w:r>
      <w:r>
        <w:rPr>
          <w:rFonts w:hint="eastAsia" w:ascii="宋体" w:hAnsi="宋体" w:cs="宋体"/>
          <w:bCs/>
          <w:color w:val="auto"/>
          <w:kern w:val="0"/>
          <w:sz w:val="24"/>
          <w:szCs w:val="24"/>
          <w:highlight w:val="none"/>
        </w:rPr>
        <w:t>程序环节的质疑，二（多）次质疑不予受理。</w:t>
      </w:r>
    </w:p>
    <w:p w14:paraId="2BD7AB36">
      <w:pPr>
        <w:pStyle w:val="18"/>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r>
        <w:rPr>
          <w:rFonts w:hint="eastAsia" w:ascii="宋体" w:hAnsi="宋体" w:cs="宋体"/>
          <w:bCs/>
          <w:color w:val="auto"/>
          <w:szCs w:val="24"/>
          <w:highlight w:val="none"/>
          <w:lang w:eastAsia="zh-CN"/>
        </w:rPr>
        <w:t>：</w:t>
      </w:r>
    </w:p>
    <w:p w14:paraId="46D452B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一</w:t>
      </w:r>
      <w:r>
        <w:rPr>
          <w:rFonts w:hint="eastAsia" w:ascii="宋体" w:hAnsi="宋体" w:cs="宋体"/>
          <w:bCs/>
          <w:color w:val="auto"/>
          <w:kern w:val="0"/>
          <w:sz w:val="24"/>
          <w:szCs w:val="24"/>
          <w:highlight w:val="none"/>
          <w:lang w:eastAsia="zh-CN"/>
        </w:rPr>
        <w:t>）竞价人</w:t>
      </w:r>
      <w:r>
        <w:rPr>
          <w:rFonts w:hint="eastAsia" w:ascii="宋体" w:hAnsi="宋体" w:cs="宋体"/>
          <w:bCs/>
          <w:color w:val="auto"/>
          <w:kern w:val="0"/>
          <w:sz w:val="24"/>
          <w:szCs w:val="24"/>
          <w:highlight w:val="none"/>
        </w:rPr>
        <w:t>的姓名或者名称、地址、邮编、联系人及联系电话</w:t>
      </w:r>
      <w:r>
        <w:rPr>
          <w:rFonts w:hint="eastAsia" w:ascii="宋体" w:hAnsi="宋体" w:cs="宋体"/>
          <w:bCs/>
          <w:color w:val="auto"/>
          <w:kern w:val="0"/>
          <w:sz w:val="24"/>
          <w:szCs w:val="24"/>
          <w:highlight w:val="none"/>
          <w:lang w:eastAsia="zh-CN"/>
        </w:rPr>
        <w:t>；</w:t>
      </w:r>
    </w:p>
    <w:p w14:paraId="320D348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二</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质疑项目的名称、编号</w:t>
      </w:r>
      <w:r>
        <w:rPr>
          <w:rFonts w:hint="eastAsia" w:ascii="宋体" w:hAnsi="宋体" w:cs="宋体"/>
          <w:bCs/>
          <w:color w:val="auto"/>
          <w:kern w:val="0"/>
          <w:sz w:val="24"/>
          <w:szCs w:val="24"/>
          <w:highlight w:val="none"/>
          <w:lang w:eastAsia="zh-CN"/>
        </w:rPr>
        <w:t>；</w:t>
      </w:r>
    </w:p>
    <w:p w14:paraId="05191A2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三</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具体、明确的质疑事项和与质疑事项相关的请求</w:t>
      </w:r>
      <w:r>
        <w:rPr>
          <w:rFonts w:hint="eastAsia" w:ascii="宋体" w:hAnsi="宋体" w:cs="宋体"/>
          <w:bCs/>
          <w:color w:val="auto"/>
          <w:kern w:val="0"/>
          <w:sz w:val="24"/>
          <w:szCs w:val="24"/>
          <w:highlight w:val="none"/>
          <w:lang w:eastAsia="zh-CN"/>
        </w:rPr>
        <w:t>；</w:t>
      </w:r>
    </w:p>
    <w:p w14:paraId="3FEF08F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四</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事实依据</w:t>
      </w:r>
      <w:r>
        <w:rPr>
          <w:rFonts w:hint="eastAsia" w:ascii="宋体" w:hAnsi="宋体" w:cs="宋体"/>
          <w:bCs/>
          <w:color w:val="auto"/>
          <w:kern w:val="0"/>
          <w:sz w:val="24"/>
          <w:szCs w:val="24"/>
          <w:highlight w:val="none"/>
          <w:lang w:eastAsia="zh-CN"/>
        </w:rPr>
        <w:t>；</w:t>
      </w:r>
    </w:p>
    <w:p w14:paraId="749704C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五</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必要的法律依据</w:t>
      </w:r>
      <w:r>
        <w:rPr>
          <w:rFonts w:hint="eastAsia" w:ascii="宋体" w:hAnsi="宋体" w:cs="宋体"/>
          <w:bCs/>
          <w:color w:val="auto"/>
          <w:kern w:val="0"/>
          <w:sz w:val="24"/>
          <w:szCs w:val="24"/>
          <w:highlight w:val="none"/>
          <w:lang w:eastAsia="zh-CN"/>
        </w:rPr>
        <w:t>；</w:t>
      </w:r>
    </w:p>
    <w:p w14:paraId="0D5AB4FA">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六</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提出质疑的日期。</w:t>
      </w:r>
    </w:p>
    <w:p w14:paraId="79B776A3">
      <w:pPr>
        <w:widowControl/>
        <w:spacing w:line="360" w:lineRule="auto"/>
        <w:ind w:firstLine="240" w:firstLineChars="1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竞价人</w:t>
      </w:r>
      <w:r>
        <w:rPr>
          <w:rFonts w:hint="eastAsia" w:ascii="宋体" w:hAnsi="宋体" w:cs="宋体"/>
          <w:bCs/>
          <w:color w:val="auto"/>
          <w:kern w:val="0"/>
          <w:sz w:val="24"/>
          <w:szCs w:val="24"/>
          <w:highlight w:val="none"/>
        </w:rPr>
        <w:t>为法人的</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应当由法定代表人、主要负责人</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或者其授权代表签字或者盖章</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并加盖公章。质疑人委托授权代表办理质疑事务时应当向</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人或招标代理机构提交质疑人的授权委托书、法定代表人或主要负责人及代理人的身份证复印件；授权委托书应载明委托代理的事项和具体委托权限。</w:t>
      </w:r>
    </w:p>
    <w:p w14:paraId="4045B78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竞价人提出质疑</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应提交由法定代表人或授权代表（提供授权函）签署、加盖公章的书面原件（拒绝传真、电邮、电话形式</w:t>
      </w:r>
      <w:r>
        <w:rPr>
          <w:rFonts w:hint="eastAsia" w:ascii="宋体" w:hAnsi="宋体" w:cs="宋体"/>
          <w:bCs/>
          <w:color w:val="auto"/>
          <w:kern w:val="0"/>
          <w:sz w:val="24"/>
          <w:szCs w:val="24"/>
          <w:highlight w:val="none"/>
          <w:lang w:eastAsia="zh-CN"/>
        </w:rPr>
        <w:t>等其他</w:t>
      </w:r>
      <w:r>
        <w:rPr>
          <w:rFonts w:hint="eastAsia" w:ascii="宋体" w:hAnsi="宋体" w:cs="宋体"/>
          <w:bCs/>
          <w:color w:val="auto"/>
          <w:kern w:val="0"/>
          <w:sz w:val="24"/>
          <w:szCs w:val="24"/>
          <w:highlight w:val="none"/>
        </w:rPr>
        <w:t>形式）及统一社会信用代码营业执照复印件并加盖公章送达</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人或</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代理机构，未提供完整材料的，</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人或</w:t>
      </w:r>
      <w:r>
        <w:rPr>
          <w:rFonts w:hint="eastAsia" w:ascii="宋体" w:hAnsi="宋体" w:cs="宋体"/>
          <w:bCs/>
          <w:color w:val="auto"/>
          <w:kern w:val="0"/>
          <w:sz w:val="24"/>
          <w:szCs w:val="24"/>
          <w:highlight w:val="none"/>
          <w:lang w:eastAsia="zh-CN"/>
        </w:rPr>
        <w:t>招标</w:t>
      </w:r>
      <w:r>
        <w:rPr>
          <w:rFonts w:hint="eastAsia" w:ascii="宋体" w:hAnsi="宋体" w:cs="宋体"/>
          <w:bCs/>
          <w:color w:val="auto"/>
          <w:kern w:val="0"/>
          <w:sz w:val="24"/>
          <w:szCs w:val="24"/>
          <w:highlight w:val="none"/>
        </w:rPr>
        <w:t>代理机构有权不受理。</w:t>
      </w:r>
    </w:p>
    <w:p w14:paraId="0AD7C627">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02B445EC">
      <w:pPr>
        <w:spacing w:line="46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人、成交</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在《成交通知书》发出之日起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日内，根据竞价文件确定的事项和成交</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报价文件，与</w:t>
      </w:r>
      <w:r>
        <w:rPr>
          <w:rFonts w:hint="eastAsia" w:ascii="宋体" w:hAnsi="宋体"/>
          <w:color w:val="auto"/>
          <w:sz w:val="24"/>
          <w:szCs w:val="24"/>
          <w:highlight w:val="none"/>
          <w:lang w:eastAsia="zh-CN"/>
        </w:rPr>
        <w:t>福建农大科技开发有限公司</w:t>
      </w:r>
      <w:r>
        <w:rPr>
          <w:rFonts w:hint="eastAsia" w:ascii="宋体" w:hAnsi="宋体"/>
          <w:color w:val="auto"/>
          <w:sz w:val="24"/>
          <w:szCs w:val="24"/>
          <w:highlight w:val="none"/>
        </w:rPr>
        <w:t>签订合同。若成交</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自愿放弃成交资格或未在规定时间内签订合同，</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人有权没收竞价保证金，并保留追究其法律责任的权利。</w:t>
      </w:r>
    </w:p>
    <w:p w14:paraId="7D01466F">
      <w:pPr>
        <w:spacing w:line="300" w:lineRule="exact"/>
        <w:rPr>
          <w:rFonts w:hint="default" w:ascii="仿宋" w:hAnsi="仿宋" w:eastAsia="仿宋" w:cs="仿宋"/>
          <w:color w:val="auto"/>
          <w:szCs w:val="21"/>
          <w:highlight w:val="none"/>
          <w:vertAlign w:val="baseline"/>
          <w:lang w:val="en-US" w:eastAsia="zh-CN"/>
        </w:rPr>
      </w:pPr>
      <w:r>
        <w:rPr>
          <w:rFonts w:ascii="宋体" w:hAnsi="宋体"/>
          <w:color w:val="auto"/>
          <w:sz w:val="24"/>
          <w:szCs w:val="24"/>
          <w:highlight w:val="none"/>
        </w:rPr>
        <w:br w:type="page"/>
      </w:r>
    </w:p>
    <w:p w14:paraId="079B1DFB">
      <w:pPr>
        <w:pStyle w:val="11"/>
        <w:spacing w:line="800" w:lineRule="exact"/>
        <w:jc w:val="center"/>
        <w:outlineLvl w:val="0"/>
        <w:rPr>
          <w:rFonts w:hAnsi="宋体"/>
          <w:b/>
          <w:bCs/>
          <w:color w:val="auto"/>
          <w:sz w:val="36"/>
          <w:szCs w:val="36"/>
          <w:highlight w:val="none"/>
        </w:rPr>
      </w:pPr>
      <w:r>
        <w:rPr>
          <w:rFonts w:hint="eastAsia" w:hAnsi="宋体"/>
          <w:b/>
          <w:bCs/>
          <w:color w:val="auto"/>
          <w:sz w:val="36"/>
          <w:szCs w:val="36"/>
          <w:highlight w:val="none"/>
          <w:lang w:eastAsia="zh-CN"/>
        </w:rPr>
        <w:t>福建农林大学学术交流中心餐饮部经营权出租项目</w:t>
      </w:r>
      <w:r>
        <w:rPr>
          <w:rFonts w:hint="eastAsia" w:hAnsi="宋体"/>
          <w:b/>
          <w:bCs/>
          <w:color w:val="auto"/>
          <w:sz w:val="36"/>
          <w:szCs w:val="36"/>
          <w:highlight w:val="none"/>
        </w:rPr>
        <w:t>租赁协议</w:t>
      </w:r>
    </w:p>
    <w:p w14:paraId="2C1536EC">
      <w:pPr>
        <w:spacing w:line="300" w:lineRule="auto"/>
        <w:jc w:val="center"/>
        <w:rPr>
          <w:b/>
          <w:color w:val="auto"/>
          <w:sz w:val="24"/>
          <w:highlight w:val="none"/>
        </w:rPr>
      </w:pPr>
      <w:r>
        <w:rPr>
          <w:rFonts w:hint="eastAsia"/>
          <w:b/>
          <w:color w:val="auto"/>
          <w:sz w:val="24"/>
          <w:highlight w:val="none"/>
        </w:rPr>
        <w:t>（本合同仅为参考文本）</w:t>
      </w:r>
    </w:p>
    <w:p w14:paraId="7C858CCD">
      <w:pPr>
        <w:spacing w:line="300" w:lineRule="auto"/>
        <w:jc w:val="center"/>
        <w:rPr>
          <w:color w:val="auto"/>
          <w:sz w:val="24"/>
          <w:highlight w:val="none"/>
        </w:rPr>
      </w:pPr>
    </w:p>
    <w:p w14:paraId="528D6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合同编号：****</w:t>
      </w:r>
    </w:p>
    <w:p w14:paraId="105CB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招标人（</w:t>
      </w:r>
      <w:r>
        <w:rPr>
          <w:rFonts w:hint="eastAsia" w:ascii="宋体" w:hAnsi="宋体" w:eastAsia="宋体" w:cs="宋体"/>
          <w:color w:val="auto"/>
          <w:kern w:val="2"/>
          <w:sz w:val="24"/>
          <w:szCs w:val="24"/>
          <w:highlight w:val="none"/>
          <w:lang w:val="en-US" w:eastAsia="zh-CN" w:bidi="ar"/>
        </w:rPr>
        <w:t>以下称甲方</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：福建农大</w:t>
      </w:r>
      <w:r>
        <w:rPr>
          <w:rFonts w:hint="eastAsia" w:ascii="宋体" w:hAnsi="宋体" w:cs="宋体"/>
          <w:color w:val="auto"/>
          <w:kern w:val="2"/>
          <w:sz w:val="24"/>
          <w:szCs w:val="24"/>
          <w:highlight w:val="none"/>
          <w:lang w:val="en-US" w:eastAsia="zh-CN" w:bidi="ar"/>
        </w:rPr>
        <w:t>科技开发有限公司</w:t>
      </w:r>
      <w:r>
        <w:rPr>
          <w:rFonts w:hint="eastAsia" w:ascii="宋体" w:hAnsi="宋体" w:eastAsia="宋体" w:cs="宋体"/>
          <w:color w:val="auto"/>
          <w:kern w:val="2"/>
          <w:sz w:val="24"/>
          <w:szCs w:val="24"/>
          <w:highlight w:val="none"/>
          <w:lang w:val="en-US" w:eastAsia="zh-CN" w:bidi="ar"/>
        </w:rPr>
        <w:t xml:space="preserve"> </w:t>
      </w:r>
    </w:p>
    <w:p w14:paraId="0D0345C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法定代表人：</w:t>
      </w:r>
    </w:p>
    <w:p w14:paraId="7D1D3F6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 xml:space="preserve">通讯地址：        </w:t>
      </w:r>
    </w:p>
    <w:p w14:paraId="358508D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 xml:space="preserve">联系电话：        </w:t>
      </w:r>
    </w:p>
    <w:p w14:paraId="7A841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中标人（</w:t>
      </w:r>
      <w:r>
        <w:rPr>
          <w:rFonts w:hint="eastAsia" w:ascii="宋体" w:hAnsi="宋体" w:eastAsia="宋体" w:cs="宋体"/>
          <w:color w:val="auto"/>
          <w:kern w:val="2"/>
          <w:sz w:val="24"/>
          <w:szCs w:val="24"/>
          <w:highlight w:val="none"/>
          <w:lang w:val="en-US" w:eastAsia="zh-CN" w:bidi="ar"/>
        </w:rPr>
        <w:t>以下称乙方</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w:t>
      </w:r>
    </w:p>
    <w:p w14:paraId="29861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统一社会信用代码 /组织机构代码：</w:t>
      </w:r>
    </w:p>
    <w:p w14:paraId="4223A2C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法定代表人/委托代理人：</w:t>
      </w:r>
      <w:r>
        <w:rPr>
          <w:rFonts w:hint="eastAsia" w:ascii="宋体" w:hAnsi="宋体" w:eastAsia="宋体" w:cs="宋体"/>
          <w:color w:val="auto"/>
          <w:kern w:val="0"/>
          <w:sz w:val="24"/>
          <w:szCs w:val="24"/>
          <w:highlight w:val="none"/>
          <w:u w:val="single"/>
          <w:lang w:val="en-US" w:eastAsia="zh-CN" w:bidi="ar"/>
        </w:rPr>
        <w:t xml:space="preserve">        </w:t>
      </w:r>
    </w:p>
    <w:p w14:paraId="66BFAC0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通讯地址：</w:t>
      </w:r>
      <w:r>
        <w:rPr>
          <w:rFonts w:hint="eastAsia" w:ascii="宋体" w:hAnsi="宋体" w:eastAsia="宋体" w:cs="宋体"/>
          <w:color w:val="auto"/>
          <w:kern w:val="0"/>
          <w:sz w:val="24"/>
          <w:szCs w:val="24"/>
          <w:highlight w:val="none"/>
          <w:u w:val="single"/>
          <w:lang w:val="en-US" w:eastAsia="zh-CN" w:bidi="ar"/>
        </w:rPr>
        <w:t xml:space="preserve">        </w:t>
      </w:r>
    </w:p>
    <w:p w14:paraId="68690C9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联系电话：</w:t>
      </w:r>
      <w:r>
        <w:rPr>
          <w:rFonts w:hint="eastAsia" w:ascii="宋体" w:hAnsi="宋体" w:eastAsia="宋体" w:cs="宋体"/>
          <w:color w:val="auto"/>
          <w:kern w:val="0"/>
          <w:sz w:val="24"/>
          <w:szCs w:val="24"/>
          <w:highlight w:val="none"/>
          <w:u w:val="single"/>
          <w:lang w:val="en-US" w:eastAsia="zh-CN" w:bidi="ar"/>
        </w:rPr>
        <w:t xml:space="preserve">        </w:t>
      </w:r>
    </w:p>
    <w:p w14:paraId="4C10E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（项目名称）</w:t>
      </w:r>
    </w:p>
    <w:p w14:paraId="3D9A9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（项目编号）公开竞价结果，经甲、乙双方协商一致，就房屋租赁相关事宜订立本合同。 </w:t>
      </w:r>
    </w:p>
    <w:p w14:paraId="1D812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第一条 租赁物</w:t>
      </w:r>
    </w:p>
    <w:p w14:paraId="60EFE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1.1甲方出租的房产</w:t>
      </w:r>
      <w:r>
        <w:rPr>
          <w:rFonts w:hint="eastAsia" w:ascii="宋体" w:hAnsi="宋体" w:cs="宋体"/>
          <w:color w:val="auto"/>
          <w:kern w:val="2"/>
          <w:sz w:val="24"/>
          <w:szCs w:val="24"/>
          <w:highlight w:val="none"/>
          <w:lang w:val="en-US" w:eastAsia="zh-CN" w:bidi="ar"/>
        </w:rPr>
        <w:t>坐落</w:t>
      </w: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；建筑面积</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m</w:t>
      </w:r>
      <w:r>
        <w:rPr>
          <w:rFonts w:hint="eastAsia" w:ascii="宋体" w:hAnsi="宋体" w:eastAsia="宋体" w:cs="宋体"/>
          <w:color w:val="auto"/>
          <w:kern w:val="2"/>
          <w:sz w:val="24"/>
          <w:szCs w:val="24"/>
          <w:highlight w:val="none"/>
          <w:vertAlign w:val="superscript"/>
          <w:lang w:val="en-US" w:eastAsia="zh-CN" w:bidi="ar"/>
        </w:rPr>
        <w:t>2</w:t>
      </w:r>
      <w:r>
        <w:rPr>
          <w:rFonts w:hint="eastAsia" w:ascii="宋体" w:hAnsi="宋体" w:eastAsia="宋体" w:cs="宋体"/>
          <w:color w:val="auto"/>
          <w:kern w:val="2"/>
          <w:sz w:val="24"/>
          <w:szCs w:val="24"/>
          <w:highlight w:val="none"/>
          <w:lang w:val="en-US" w:eastAsia="zh-CN" w:bidi="ar"/>
        </w:rPr>
        <w:t>。</w:t>
      </w:r>
    </w:p>
    <w:p w14:paraId="342B6A8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 房屋装修情况：</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（装修具体情况可由甲、乙双方在本合同附件中补充列明）。</w:t>
      </w:r>
    </w:p>
    <w:p w14:paraId="48A6532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 房屋内附属设施情况：</w:t>
      </w:r>
    </w:p>
    <w:p w14:paraId="3D6F06A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房屋内无任何设施设备，是空房。</w:t>
      </w:r>
    </w:p>
    <w:p w14:paraId="2ABF1CB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房屋内安装有设施设备，详见附件《租赁房屋设备设施清单》。</w:t>
      </w:r>
    </w:p>
    <w:p w14:paraId="3284A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第二条 租赁物用途</w:t>
      </w:r>
    </w:p>
    <w:p w14:paraId="2E6605A1">
      <w:pPr>
        <w:keepNext w:val="0"/>
        <w:keepLines w:val="0"/>
        <w:pageBreakBefore w:val="0"/>
        <w:widowControl w:val="0"/>
        <w:kinsoku/>
        <w:wordWrap/>
        <w:overflowPunct/>
        <w:topLinePunct w:val="0"/>
        <w:autoSpaceDE/>
        <w:autoSpaceDN/>
        <w:bidi w:val="0"/>
        <w:adjustRightInd/>
        <w:snapToGrid/>
        <w:spacing w:after="0" w:line="480" w:lineRule="exact"/>
        <w:ind w:firstLine="600" w:firstLineChars="250"/>
        <w:jc w:val="both"/>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租赁物用途为：</w:t>
      </w:r>
      <w:r>
        <w:rPr>
          <w:rFonts w:hint="eastAsia" w:ascii="宋体" w:hAnsi="宋体" w:eastAsia="宋体" w:cs="宋体"/>
          <w:color w:val="auto"/>
          <w:kern w:val="2"/>
          <w:sz w:val="24"/>
          <w:szCs w:val="24"/>
          <w:highlight w:val="none"/>
          <w:u w:val="none"/>
          <w:lang w:val="en-US" w:eastAsia="zh-CN" w:bidi="ar"/>
        </w:rPr>
        <w:t xml:space="preserve">      </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不得经营包括但不限于有污染及噪音大的酒吧、网吧、KTV、桑拿洗浴、水疗休闲、保健推拿、足部护理等其他不适合在高校及其周边经营的休闲娱乐项目，不得经营“黄、赌、毒”及国家法律法规明令禁止的业务，不得进行对学校声誉有不良影响的经营活动。</w:t>
      </w:r>
    </w:p>
    <w:p w14:paraId="14957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第三条 租赁期限</w:t>
      </w:r>
    </w:p>
    <w:p w14:paraId="439BA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自</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日至</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日止，共计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个月。如因甲方建设需要或政府部门要求终止租赁，甲方有权单方解除本合同，乙方应无条件配合退场并与甲方办理好租金及各项费用的结算手续。本合同于甲方解除通知书送达乙方之日起终止。</w:t>
      </w:r>
    </w:p>
    <w:p w14:paraId="42B0D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第四条 租金及其支付方式： </w:t>
      </w:r>
    </w:p>
    <w:p w14:paraId="7E356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 月租金（含税）：人民币（大写）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元【￥     】。</w:t>
      </w:r>
    </w:p>
    <w:p w14:paraId="076B8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 支付方式：每年的租金分季度支付，每季度为3个月，每季度租金为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元，先缴后用。自租赁起始日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日起每3个月计算一次，第一季度租金应于本合同签订之日起</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日内支付，后续乙方应在每季度开始前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日支付该季度租金。</w:t>
      </w:r>
    </w:p>
    <w:p w14:paraId="2623B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4.3乙方存入福建农大</w:t>
      </w:r>
      <w:r>
        <w:rPr>
          <w:rFonts w:hint="eastAsia" w:ascii="宋体" w:hAnsi="宋体" w:cs="宋体"/>
          <w:color w:val="auto"/>
          <w:kern w:val="2"/>
          <w:sz w:val="24"/>
          <w:szCs w:val="24"/>
          <w:highlight w:val="none"/>
          <w:lang w:val="en-US" w:eastAsia="zh-CN" w:bidi="ar"/>
        </w:rPr>
        <w:t>科技开发有限公司账户</w:t>
      </w:r>
      <w:r>
        <w:rPr>
          <w:rFonts w:hint="eastAsia" w:ascii="宋体" w:hAnsi="宋体" w:eastAsia="宋体" w:cs="宋体"/>
          <w:color w:val="auto"/>
          <w:kern w:val="2"/>
          <w:sz w:val="24"/>
          <w:szCs w:val="24"/>
          <w:highlight w:val="none"/>
          <w:lang w:val="en-US" w:eastAsia="zh-CN" w:bidi="ar"/>
        </w:rPr>
        <w:t>，并将银行回单交回甲方换取发票。</w:t>
      </w:r>
    </w:p>
    <w:p w14:paraId="52AC8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4.4甲方开户银行：</w:t>
      </w:r>
    </w:p>
    <w:p w14:paraId="15CB7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收款人名称： 福建农大</w:t>
      </w:r>
      <w:r>
        <w:rPr>
          <w:rFonts w:hint="eastAsia" w:ascii="宋体" w:hAnsi="宋体" w:cs="宋体"/>
          <w:color w:val="auto"/>
          <w:kern w:val="2"/>
          <w:sz w:val="24"/>
          <w:szCs w:val="24"/>
          <w:highlight w:val="none"/>
          <w:lang w:val="en-US" w:eastAsia="zh-CN" w:bidi="ar"/>
        </w:rPr>
        <w:t>科技开发有限公司</w:t>
      </w:r>
    </w:p>
    <w:p w14:paraId="121C7F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账号</w:t>
      </w:r>
      <w:r>
        <w:rPr>
          <w:rFonts w:hint="eastAsia" w:ascii="宋体" w:hAnsi="宋体" w:eastAsia="宋体" w:cs="宋体"/>
          <w:color w:val="auto"/>
          <w:kern w:val="2"/>
          <w:sz w:val="24"/>
          <w:szCs w:val="24"/>
          <w:highlight w:val="none"/>
          <w:lang w:val="en-US" w:eastAsia="zh-CN" w:bidi="ar"/>
        </w:rPr>
        <w:t>：</w:t>
      </w:r>
    </w:p>
    <w:p w14:paraId="3A1A74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第五条 租赁押金（履约保证金）</w:t>
      </w:r>
    </w:p>
    <w:p w14:paraId="79C54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5.1乙方应于本合同签署之日前缴纳相当于半年租金人民币</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元【￥     】作为租赁押金。</w:t>
      </w:r>
    </w:p>
    <w:p w14:paraId="682739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5.2租赁期限届满或合同解除后5日内，同时满足以下条件时，甲方应当在扣除乙方应承担的租金、费用以及违约赔偿金后，将租赁押金剩余部分无息退还给乙方：</w:t>
      </w:r>
    </w:p>
    <w:p w14:paraId="2F60678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（1）乙方未对租赁房屋造成损坏或已经将损坏的房屋修复；</w:t>
      </w:r>
    </w:p>
    <w:p w14:paraId="512F96C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（2）乙方按照本合同约定的方式将租赁房屋（包括附属设施）交还给甲方；</w:t>
      </w:r>
    </w:p>
    <w:p w14:paraId="70A3095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（3）乙方使用租赁房屋地址办理工商注册的，已将工商注册地址迁移，并办理完毕法律及政府规定的其他手续。</w:t>
      </w:r>
    </w:p>
    <w:p w14:paraId="583EC68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（4）乙方结清租金及物业卫生、水电、维修等相关费用，且清场完毕。</w:t>
      </w:r>
    </w:p>
    <w:p w14:paraId="2D331F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（5）双方共同验收租赁物状态，确认无误并签字确认。</w:t>
      </w:r>
    </w:p>
    <w:p w14:paraId="63C5F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5.3若乙方在租赁期间，给甲方房屋和相关设备造成损毁，或因乙方违约或其他不当行为给甲方带来其他经济损失（包括但不限于因乙方原因导致的第三方索赔），甲方有权从乙方租赁押金中扣除维修、赔偿及其他经济损失费用，不足部分乙方仍需负赔偿责任，且乙方应在收到甲方扣除租赁押金的通知后3个工作日内补齐租赁押金。 </w:t>
      </w:r>
    </w:p>
    <w:p w14:paraId="71FF4F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第六条水电费、卫生费</w:t>
      </w:r>
    </w:p>
    <w:p w14:paraId="0A5FD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6.1、水电价格与收费方式：</w:t>
      </w:r>
    </w:p>
    <w:p w14:paraId="07900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按照福建农林大学相关部门规定的水电价格标准，以抄表数据实计量，按月抄表结算。水单价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元/吨，电单价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元/度。供用双方议定的水电价格若有变动，根据福州市水电管理部门规定的水电价格进行相应调整。甲方发出月水电缴费通知书后乙方应于送达日起十五个工作日内及时办理结算手续，超过规定交款时间，甲方有权停止供水供电，并按每日千分之三的标准收取逾期违约金。</w:t>
      </w:r>
    </w:p>
    <w:p w14:paraId="497D1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6.2 垃圾转运费收费标准与方式：</w:t>
      </w:r>
    </w:p>
    <w:p w14:paraId="2F3C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60" w:firstLineChars="275"/>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乙方应向甲方缴纳</w:t>
      </w:r>
      <w:r>
        <w:rPr>
          <w:rFonts w:hint="eastAsia" w:ascii="宋体" w:hAnsi="宋体" w:eastAsia="宋体" w:cs="宋体"/>
          <w:color w:val="auto"/>
          <w:kern w:val="2"/>
          <w:sz w:val="24"/>
          <w:szCs w:val="24"/>
          <w:highlight w:val="none"/>
          <w:u w:val="single"/>
          <w:lang w:val="en-US" w:eastAsia="zh-CN" w:bidi="ar"/>
        </w:rPr>
        <w:t>100元/月</w:t>
      </w:r>
      <w:r>
        <w:rPr>
          <w:rFonts w:hint="eastAsia" w:ascii="宋体" w:hAnsi="宋体" w:eastAsia="宋体" w:cs="宋体"/>
          <w:color w:val="auto"/>
          <w:kern w:val="2"/>
          <w:sz w:val="24"/>
          <w:szCs w:val="24"/>
          <w:highlight w:val="none"/>
          <w:lang w:val="en-US" w:eastAsia="zh-CN" w:bidi="ar"/>
        </w:rPr>
        <w:t>垃圾转运费，本合同期限共计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月，共计人民币</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   元）</w:t>
      </w:r>
      <w:r>
        <w:rPr>
          <w:rFonts w:hint="eastAsia" w:ascii="宋体" w:hAnsi="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lang w:val="en-US" w:eastAsia="zh-CN" w:bidi="ar"/>
        </w:rPr>
        <w:t xml:space="preserve"> 缴费方式：与本合同4.2条款租金支付方式一致，每季度支付一次，每次支付300元垃圾转运费，与租金一并缴清。</w:t>
      </w:r>
    </w:p>
    <w:p w14:paraId="593E55C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0"/>
        <w:rPr>
          <w:rFonts w:hint="eastAsia" w:ascii="宋体" w:hAnsi="宋体" w:eastAsia="宋体" w:cs="宋体"/>
          <w:b w:val="0"/>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 xml:space="preserve">  6.3 除上述费用外，因租赁房屋产生的其他费用均由乙方承担。</w:t>
      </w:r>
    </w:p>
    <w:p w14:paraId="59544E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第七条 租赁房屋使用及维护</w:t>
      </w:r>
    </w:p>
    <w:p w14:paraId="1D73D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7.1 租赁期间，乙方应当正常、合理地使用租赁房屋及其附属设施，安全用水、用电。</w:t>
      </w:r>
    </w:p>
    <w:p w14:paraId="6019A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7.2 租赁期间，乙方发现租赁房屋及其附属设施有损坏或故障时，应当及时通知甲方修复。</w:t>
      </w:r>
    </w:p>
    <w:p w14:paraId="28728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因乙方故意或使用不当而造成租赁房屋或附属设施（包括乙方对房屋的装饰装修和增加的设施、设备）出现损坏或故障，由乙方负责维修，甲方不承担维修义务。</w:t>
      </w:r>
    </w:p>
    <w:p w14:paraId="6A029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如因乙方不及时履行本合同约定的维修、养护以及其他义务造成甲方或第三方人身损害、财产损失的，乙方应当承担赔偿责任；造成乙方自身人身损害、财产损失的，由其自身承担责任。</w:t>
      </w:r>
    </w:p>
    <w:p w14:paraId="22159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7.3 发生需紧急维修但又无法通知乙方或虽通知但乙方不能在场的情形时，甲方可进入租赁房屋进行紧急维修施工作业。</w:t>
      </w:r>
    </w:p>
    <w:p w14:paraId="2BAFA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第八条 宣传广告与营业时间</w:t>
      </w:r>
    </w:p>
    <w:p w14:paraId="5E561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8.1乙方根据经营需要在租赁房屋外张贴、悬挂广告，但不得破坏建筑物结构以及整体外观，并经甲方同意、报有关部门批准。</w:t>
      </w:r>
    </w:p>
    <w:p w14:paraId="536BF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8.2 乙方使用租赁物进行营业活动时，营业时间限定为每天上午6点至晚上11点；乙方使用租赁物期间，尤其是营业时间内不得大肆播放音乐、大声喧闹以影响甲方师生的正常作息。</w:t>
      </w:r>
    </w:p>
    <w:p w14:paraId="014AD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第九条 租赁房屋返还</w:t>
      </w:r>
    </w:p>
    <w:p w14:paraId="5DE1E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9.1 租赁期限届满或本合同解除，乙方应在1日内及时清场撤离，并将房屋及附属设施以完好状态交还甲方。乙方未在租赁期限届满或本合同解除之日后1日内清空、搬离房屋内可移动物品，则乙方放弃遗留物品的所有权，甲方有权将租赁房屋内遗留的所有物品作为废弃物处理。</w:t>
      </w:r>
    </w:p>
    <w:p w14:paraId="5F0DD6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合同期满或合同解除之日起，乙方应保证房屋内水电设施正常，对其投资安装的可移动设备保留所有权，有权移除该设备；乙方已安装在本房屋内的水电设施（含电路、水路系统）和内部装修物（含房屋六面装修物）所有权归甲方所有，不得拆除、损毁。损毁的，应照价赔偿。</w:t>
      </w:r>
    </w:p>
    <w:p w14:paraId="460D4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9.3 房屋返还时，双方当事人应当按《租赁房屋设备设施清单》对房屋和附属物品、设施设备及水电气等使用情况进行交验，并签字确认。</w:t>
      </w:r>
    </w:p>
    <w:p w14:paraId="2293B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第十条 双方的权利与义务</w:t>
      </w:r>
    </w:p>
    <w:p w14:paraId="39B37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1、甲方的权利与义务：</w:t>
      </w:r>
    </w:p>
    <w:p w14:paraId="13112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（1）按照约定收取租金。</w:t>
      </w:r>
    </w:p>
    <w:p w14:paraId="1E5A8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（2）甲方尊重乙方在本合同期内合法使用租赁房屋合法经营的自主权；但有权知悉乙方安全、卫生、消防等工作情况。</w:t>
      </w:r>
    </w:p>
    <w:p w14:paraId="36F72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（3）鉴于甲方为学校的特殊环境，甲方有权对乙方的商品价格、产品质量、安全卫生、经营范围等进行监督管理。</w:t>
      </w:r>
    </w:p>
    <w:p w14:paraId="45213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（4）鉴于甲方为学校的特殊环境，因疫情防控</w:t>
      </w:r>
      <w:r>
        <w:rPr>
          <w:rFonts w:hint="eastAsia" w:ascii="宋体" w:hAnsi="宋体" w:cs="宋体"/>
          <w:color w:val="auto"/>
          <w:kern w:val="2"/>
          <w:sz w:val="24"/>
          <w:szCs w:val="24"/>
          <w:highlight w:val="none"/>
          <w:lang w:val="en-US" w:eastAsia="zh-CN" w:bidi="ar"/>
        </w:rPr>
        <w:t>或其他</w:t>
      </w:r>
      <w:r>
        <w:rPr>
          <w:rFonts w:hint="eastAsia" w:ascii="宋体" w:hAnsi="宋体" w:eastAsia="宋体" w:cs="宋体"/>
          <w:color w:val="auto"/>
          <w:kern w:val="2"/>
          <w:sz w:val="24"/>
          <w:szCs w:val="24"/>
          <w:highlight w:val="none"/>
          <w:lang w:val="en-US" w:eastAsia="zh-CN" w:bidi="ar"/>
        </w:rPr>
        <w:t>特殊情况，甲方有权要求乙方提供民生所需服务，若乙方未能按照甲方要求服务好师生，视为违约，甲方有权收回租赁物并不予返还租赁押金。</w:t>
      </w:r>
    </w:p>
    <w:p w14:paraId="2D240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2、乙方的权利与义务： </w:t>
      </w:r>
    </w:p>
    <w:p w14:paraId="6A23F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乙方负责租赁物的装修，装修费用由乙方自理，装修方案需报甲方认可批准后方能施工。乙方对租赁物室内装修时不得损毁、破坏和改变租赁物结构及附属设施；乙方若对租赁物及附属设施损毁、破坏和改变租赁物结构及附属设施等，甲方有权责令其限期整改，造成损失的，由乙方负责恢复或经济赔偿。</w:t>
      </w:r>
    </w:p>
    <w:p w14:paraId="3D1D8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（2）乙方对租赁物室内经营场所启动装修项目前，应先完成以下工作后方可进行室内装修：应选择</w:t>
      </w:r>
      <w:r>
        <w:rPr>
          <w:rFonts w:hint="eastAsia" w:ascii="宋体" w:hAnsi="宋体" w:cs="宋体"/>
          <w:color w:val="auto"/>
          <w:kern w:val="2"/>
          <w:sz w:val="24"/>
          <w:szCs w:val="24"/>
          <w:highlight w:val="none"/>
          <w:lang w:val="en-US" w:eastAsia="zh-CN" w:bidi="ar"/>
        </w:rPr>
        <w:t>具有</w:t>
      </w:r>
      <w:r>
        <w:rPr>
          <w:rFonts w:hint="eastAsia" w:ascii="宋体" w:hAnsi="宋体" w:eastAsia="宋体" w:cs="宋体"/>
          <w:color w:val="auto"/>
          <w:kern w:val="2"/>
          <w:sz w:val="24"/>
          <w:szCs w:val="24"/>
          <w:highlight w:val="none"/>
          <w:lang w:val="en-US" w:eastAsia="zh-CN" w:bidi="ar"/>
        </w:rPr>
        <w:t>消防专业资质的单位进行设计。设计规范应符合经营场所的消防规范要求，并保持应急疏散通道畅通；设计内容应含消防排烟系统、消火栓、喷淋系统、报警系统、疏散指示灯、应急照明灯、灭火器等材料采购，并负责安装调试；应选择有相关专业资质的单位进行施工。</w:t>
      </w:r>
    </w:p>
    <w:p w14:paraId="1554071A">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的经营场所开业前，应含有消防排烟系统、消火栓、喷淋系统、报警系统、疏散指示灯、应急照明灯、灭火器等消防设施、设备，同时应保证能正常使用。在租赁期限内因火灾或用电不当等因素，而引发的安全事故所造成的一切经济和法律责任由乙方承担，甲方不负任何责任。</w:t>
      </w:r>
    </w:p>
    <w:p w14:paraId="0A8AE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（4）乙方不得擅自改变合同约定的租赁用途，承租方为经营场地实际责任人。不得将合同项目物理分隔后分别向他人转让、转租。违者，甲方有权解除合同，收回租赁物，不予返还租赁押金。</w:t>
      </w:r>
    </w:p>
    <w:p w14:paraId="0AB4B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（5）乙方必须依约缴纳租金及其他费用，如有无故拖欠，甲方有权向乙方加收逾期违约金，逾期违约金按日千分之三持续计收。拖欠租金达</w:t>
      </w:r>
      <w:r>
        <w:rPr>
          <w:rFonts w:hint="eastAsia" w:ascii="宋体" w:hAnsi="宋体"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 xml:space="preserve">日的，甲方有权停止水、电供应直至解除合同；拖欠租金达15日的，甲方有权单方面解除合同并收回租赁房屋；拖欠租金达30日的，甲方有权单方面解除合同，收回租赁物，并不予返还乙方租赁押金。 </w:t>
      </w:r>
    </w:p>
    <w:p w14:paraId="15DE5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（6）租赁经营期间保证遵守国家政策法规、合法经营、按章纳税，遵守甲方有关管理规定。乙方独立承担经营期间所有经济、法律责任。因乙方违法违规经营而给甲方造成的连带损失，由乙方负责赔偿。</w:t>
      </w:r>
    </w:p>
    <w:p w14:paraId="00EEF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7）乙方在租赁期间，必须以合理防范措施，保护租赁期内由甲方配置的设备和设施的完好无损（自然折旧除外），乙方不得擅自改变租赁物的结构及用途，如确需要变更用途，需经甲方同意后方可进行。乙方造成租赁物及其设备的毁损，应负责恢复原状。如乙方在租赁期满不负责恢复原状，甲方有权自行恢复原状，费用从乙方租赁押金中扣除。 </w:t>
      </w:r>
    </w:p>
    <w:p w14:paraId="38E51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8）乙方如在租赁房屋内安装超过电表负荷的任何设备、仪器或机械，须征得甲方同意，并由甲方协助乙方办理相关手续，费用由乙方自理。未经甲方同意和因未办理相关手续自行拆装则视为偷电，同时，产生的事故由乙方自负。 </w:t>
      </w:r>
    </w:p>
    <w:p w14:paraId="5E04D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（9）乙方不得在租赁房屋外面附加任何物件或涂刷任何涂料或做出任何更改，店招及相关宣传必须征得甲方同意方可实施，擅自实施的，甲方有权要求乙方拆除。 </w:t>
      </w:r>
    </w:p>
    <w:p w14:paraId="3E0DA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（10）乙方在租赁期间，应提供投标文件或合同所承诺的服务，若无不可抗力因素，超过2个月未能提供有效服务，视为违约，甲方有权解除合同，收回租赁物，不予返还租赁押金。</w:t>
      </w:r>
    </w:p>
    <w:p w14:paraId="0787A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租赁期满或合同解除后，乙方逾期不搬迁，甲方有权要求乙方按照双倍租金（超期天数×合同月租金/30×2）支付违约金，并有权诉诸法律。逾期5日以上（含5日），不予返还租赁押金，甲方有权断水断电，协同相关部门强制清场，所造成的损失由乙方承担。</w:t>
      </w:r>
    </w:p>
    <w:p w14:paraId="3CB0B8C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乙方在经营期间应服从甲方的监督管理，监管主要内容为：商品价格、产品质量、消防安全、经营范围。其中商品价格：乙方售卖的商品价格不得高于附近同种规格、同类商品的价格，若有违反，乙方应支付所购买商品价值5倍的赔偿金额给消费者；产品质量：乙方应通过正规渠道采购经营场所内的售卖商品，并做好供、收商品记录台账及相关凭证，不得采购假冒伪劣或以次充好的商品，接受学生团体的监督检查，接受市场监督管理部门的监督检查；消防安全：乙方在租赁物室内装修时应严格按照要求进行装修，未按要求装修的，由此产生的一切后果和责任由乙方自行承担；经营期间应随时接受消防主管部门、甲方有关部门的监督检查；经营范围：不可私自扩大或改变经营项目及范围。乙方如出现以上违规现象，甲方将提出书面整改通知，如乙方累计被书面通知3次以上（含3次），甲方有权解除合同、收回租赁物，并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w:t>
      </w:r>
    </w:p>
    <w:p w14:paraId="5E97784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乙方在租赁期间应做好加强消防日常巡查、安全生产和规范有序经营等各项工作；同时，按消防主管部门要求和经营场所面积的大小配备足够数量的灭火器、消防栓、应急灯、消防水带、灭火桶等消防器材、设备，防止火灾等安全事故的发生；若乙方在规定期限内未按要求配备足够数量灭火器等消防器材、设备或</w:t>
      </w:r>
      <w:r>
        <w:rPr>
          <w:rFonts w:hint="eastAsia" w:ascii="宋体" w:hAnsi="宋体" w:cs="宋体"/>
          <w:color w:val="auto"/>
          <w:kern w:val="2"/>
          <w:sz w:val="24"/>
          <w:szCs w:val="24"/>
          <w:highlight w:val="none"/>
          <w:lang w:val="en-US" w:eastAsia="zh-CN" w:bidi="ar"/>
        </w:rPr>
        <w:t>消防器材</w:t>
      </w:r>
      <w:r>
        <w:rPr>
          <w:rFonts w:hint="eastAsia" w:ascii="宋体" w:hAnsi="宋体" w:eastAsia="宋体" w:cs="宋体"/>
          <w:color w:val="auto"/>
          <w:kern w:val="2"/>
          <w:sz w:val="24"/>
          <w:szCs w:val="24"/>
          <w:highlight w:val="none"/>
          <w:lang w:val="en-US" w:eastAsia="zh-CN" w:bidi="ar"/>
        </w:rPr>
        <w:t>、设备已老化或过期无法正常使用而未及时更换，且经工作人员教育后仍未及时更换的，甲方有权单方停水、停电责令其整改，同时乙方应向甲方缴纳违约金300元/次，待整改到位后再恢复供应水、电。停水、停电期间造成的损失由乙方自负；若出现火灾、火情等安全事故，所造成的一切责任及经济赔偿由乙方承担，与甲方无关；同时，甲方有权依据安全事故造成的危害轻重程度，可采取警示教育、责令乙方缴纳违约金1000元/次、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押金或解除合同及收回租赁物的措施。</w:t>
      </w:r>
    </w:p>
    <w:p w14:paraId="7E5A171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乙方应安全生产与文明经营，努力提高自身服务质量和水平。若因乙方日常管理不善、操作不当、进货渠道不正规或未及时维护与更新经营场所内配套使用的日常设施、设备等因素，而引发的食物中毒、人员触电等安全事故或侵害消费者的权益，所造成的一切责任及经济赔偿由乙方承担，甲方不负任何责任。同时，甲方有权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押金，终止合同，收回租赁物。</w:t>
      </w:r>
    </w:p>
    <w:p w14:paraId="681B44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（15）乙方只能在甲方提供的租赁房屋内经营，不得占用道路、走廊过道等公共场所</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不得超范围经营。若乙方违反本条款，甲方责令其限期改正，同时乙方须向甲方支付违约金（第一次500元，第二次1000元，第三次1500元，</w:t>
      </w:r>
      <w:r>
        <w:rPr>
          <w:rFonts w:hint="eastAsia" w:ascii="宋体" w:hAnsi="宋体" w:cs="宋体"/>
          <w:color w:val="auto"/>
          <w:kern w:val="2"/>
          <w:sz w:val="24"/>
          <w:szCs w:val="24"/>
          <w:highlight w:val="none"/>
          <w:lang w:val="en-US" w:eastAsia="zh-CN" w:bidi="ar"/>
        </w:rPr>
        <w:t>以此类推</w:t>
      </w:r>
      <w:r>
        <w:rPr>
          <w:rFonts w:hint="eastAsia" w:ascii="宋体" w:hAnsi="宋体" w:eastAsia="宋体" w:cs="宋体"/>
          <w:color w:val="auto"/>
          <w:kern w:val="2"/>
          <w:sz w:val="24"/>
          <w:szCs w:val="24"/>
          <w:highlight w:val="none"/>
          <w:lang w:val="en-US" w:eastAsia="zh-CN" w:bidi="ar"/>
        </w:rPr>
        <w:t>违约金每次递增500元），逾期不交者甲方有权采取停水停电措施，由此造成的损失由乙方自行负责。同时将每次违规行为记录入档；若违反本条规定三次以上（含三次），甲方有权责令乙方停业整顿，直至解除合同，收回租赁物，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w:t>
      </w:r>
    </w:p>
    <w:p w14:paraId="27E6D0F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乙方须保持租赁房屋内外环境卫生整洁，按规定配备卫生设施，实行门前三包。垃圾须倒入指定的垃圾箱内。租赁房屋门口严禁堆放各种杂物、经营物品等，严禁乱倒垃圾、污水、杂物等。若乙方违反本条款，甲方责令其限期改正，同时乙方须向甲方支付违约金200元/次；若违反本条规定三次以上（含三次），甲方有权责令乙方停业整顿，直至解除合同，收回租赁物，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w:t>
      </w:r>
    </w:p>
    <w:p w14:paraId="15568C6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乙方签订合同后7日内，应按甲方的垃圾分类要求配齐4类垃圾分类桶等卫生设备（即垃圾桶应标有可回收物、其他垃圾、有毒垃圾和易腐垃圾的标志）；同时，每天在规定时间派专人将分类好的垃圾投放到指定的对应分类垃圾收集点。若未按甲方的要求配齐4类分类垃圾桶的或未按规定时间定点投放分类垃圾的，甲方责令乙方限期整改，对拒不改正的，乙方属个人的，应向甲方缴纳违约金100元/次；乙方属单位的，应向甲方缴纳违约金150元/次。</w:t>
      </w:r>
    </w:p>
    <w:p w14:paraId="2A88572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乙方应严格按照甲方的要求，做好健康管理工作（如每天实行日报告制度和本网点服务人员身体状况登记报告；应急情况的处置、供应商配送人员的身体状况报告及供、收商品的登记和常用防控物资的配备等工作）。若乙方未按甲方的要求，在规定时间内未完成一项上述工作时，乙方应向甲方缴纳违约金200元/次。</w:t>
      </w:r>
    </w:p>
    <w:p w14:paraId="2187449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（19）甲方创建无烟校园，乙方应在经营场所禁售烟草制品和电子烟系列产品；如乙方有违反本条款，甲方责令其限期整改，同时乙方须向甲方支付违约金（第一次500元，第二次1000元，第三次1500元，</w:t>
      </w:r>
      <w:r>
        <w:rPr>
          <w:rFonts w:hint="eastAsia" w:ascii="宋体" w:hAnsi="宋体" w:cs="宋体"/>
          <w:color w:val="auto"/>
          <w:kern w:val="2"/>
          <w:sz w:val="24"/>
          <w:szCs w:val="24"/>
          <w:highlight w:val="none"/>
          <w:lang w:val="en-US" w:eastAsia="zh-CN" w:bidi="ar"/>
        </w:rPr>
        <w:t>以此类推</w:t>
      </w:r>
      <w:r>
        <w:rPr>
          <w:rFonts w:hint="eastAsia" w:ascii="宋体" w:hAnsi="宋体" w:eastAsia="宋体" w:cs="宋体"/>
          <w:color w:val="auto"/>
          <w:kern w:val="2"/>
          <w:sz w:val="24"/>
          <w:szCs w:val="24"/>
          <w:highlight w:val="none"/>
          <w:lang w:val="en-US" w:eastAsia="zh-CN" w:bidi="ar"/>
        </w:rPr>
        <w:t>违约金每次递增500元），逾期不交者甲方有权采取停水停电措施，由此造成的损失由乙方自行负责。同时将每次违规行为记录入档；若违反本条规定三次以上，甲方有权责令乙方停业整顿，直至解除合同，收回租赁物，不予返还</w:t>
      </w:r>
      <w:r>
        <w:rPr>
          <w:rFonts w:hint="eastAsia" w:ascii="宋体" w:hAnsi="宋体" w:eastAsia="宋体" w:cs="宋体"/>
          <w:color w:val="auto"/>
          <w:kern w:val="0"/>
          <w:sz w:val="24"/>
          <w:szCs w:val="24"/>
          <w:highlight w:val="none"/>
          <w:lang w:val="en-US" w:eastAsia="zh-CN" w:bidi="ar"/>
        </w:rPr>
        <w:t>租赁</w:t>
      </w:r>
      <w:r>
        <w:rPr>
          <w:rFonts w:hint="eastAsia" w:ascii="宋体" w:hAnsi="宋体" w:eastAsia="宋体" w:cs="宋体"/>
          <w:color w:val="auto"/>
          <w:kern w:val="2"/>
          <w:sz w:val="24"/>
          <w:szCs w:val="24"/>
          <w:highlight w:val="none"/>
          <w:lang w:val="en-US" w:eastAsia="zh-CN" w:bidi="ar"/>
        </w:rPr>
        <w:t>押金。</w:t>
      </w:r>
    </w:p>
    <w:p w14:paraId="10C7D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第十一条 合同的解除</w:t>
      </w:r>
    </w:p>
    <w:p w14:paraId="15508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乙方承租期未满一年提出提前终止承租合同的，甲方不予返还租赁押金。乙方承租期满一年后提出提前终止承租合同的，应提前三个月向甲方提出终止承租合同书面申请，经甲方同意后方可终止。自甲方同意提前终止合同之日起，乙方除缴清所有规费外，还应向甲方缴纳提前终止承租合同而违约的相应比例违约金（违约金比例为：履约保证金（租赁押金）÷承租合同约定履约自然月数×无法继续履约自然月数）。</w:t>
      </w:r>
    </w:p>
    <w:p w14:paraId="48EEB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2、合同履行期间，若因不可抗力的自然灾害导致经营房屋损毁无法修复，使得房屋无法继续使用，乙方需立即书面通知甲方解除本合同，双方互为免责，甲方须将剩余租赁押金及预付租金无息退还乙方。</w:t>
      </w:r>
    </w:p>
    <w:p w14:paraId="1F29D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基于甲方是学校的特殊环境，双方同意：若因租赁房屋因社会公共利益或因城市建设需要等原因被依法征收征用拆除或因学校建设发展需要或政府相关部门要求停止商业行为而解除双方租赁关系的，甲方有权解除本合同，乙方应无条件予以配合，按本合同第九条履行完清场手续后交回租赁房屋，甲方将剩余租赁押金及预付租金无息退还乙方。</w:t>
      </w:r>
    </w:p>
    <w:p w14:paraId="0F412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第十二条 </w:t>
      </w:r>
      <w:r>
        <w:rPr>
          <w:rFonts w:hint="eastAsia" w:ascii="宋体" w:hAnsi="宋体" w:cs="宋体"/>
          <w:bCs/>
          <w:color w:val="auto"/>
          <w:kern w:val="2"/>
          <w:sz w:val="24"/>
          <w:szCs w:val="24"/>
          <w:highlight w:val="none"/>
          <w:lang w:val="en-US" w:eastAsia="zh-CN" w:bidi="ar"/>
        </w:rPr>
        <w:t>其他</w:t>
      </w:r>
      <w:r>
        <w:rPr>
          <w:rFonts w:hint="eastAsia" w:ascii="宋体" w:hAnsi="宋体" w:eastAsia="宋体" w:cs="宋体"/>
          <w:bCs/>
          <w:color w:val="auto"/>
          <w:kern w:val="2"/>
          <w:sz w:val="24"/>
          <w:szCs w:val="24"/>
          <w:highlight w:val="none"/>
          <w:lang w:val="en-US" w:eastAsia="zh-CN" w:bidi="ar"/>
        </w:rPr>
        <w:t>约定：</w:t>
      </w:r>
    </w:p>
    <w:p w14:paraId="250DB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第十三条 通知和送达</w:t>
      </w:r>
    </w:p>
    <w:p w14:paraId="1BAA2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13.1 甲乙双方约定以□ 邮寄□ 电子邮件□ 微信□ 短信方式发送通知，双方确认其有效送达地址同首部通讯地址一致。 </w:t>
      </w:r>
    </w:p>
    <w:p w14:paraId="342BD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14:paraId="0D85A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第十四条 本合同如有未尽事宜，经双方协商一致签订补充协议，该补充协议与本合同具有同等效力。 </w:t>
      </w:r>
    </w:p>
    <w:p w14:paraId="3F921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本合同执行中如发生纠纷，应通过甲乙双方协商解决，协商不成，可向租赁房屋所在地人民法院起诉。 </w:t>
      </w:r>
    </w:p>
    <w:p w14:paraId="31E19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本合同经过双方签字盖章后生效。本合同正本一式肆份，甲方执叁份，乙方执壹份。</w:t>
      </w:r>
    </w:p>
    <w:p w14:paraId="7AF3B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出租方（甲方）：                          承租方（乙方）： </w:t>
      </w:r>
    </w:p>
    <w:p w14:paraId="7209F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授权签署人签章：                        法定代表人签章： </w:t>
      </w:r>
    </w:p>
    <w:p w14:paraId="4F22C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年 月 日                                年 月 日 </w:t>
      </w:r>
    </w:p>
    <w:p w14:paraId="00FF50BD">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8"/>
          <w:szCs w:val="28"/>
          <w:highlight w:val="none"/>
        </w:rPr>
      </w:pPr>
    </w:p>
    <w:p w14:paraId="5BB75900">
      <w:pPr>
        <w:spacing w:line="500" w:lineRule="exact"/>
        <w:jc w:val="center"/>
        <w:rPr>
          <w:rFonts w:hint="eastAsia" w:ascii="宋体" w:hAnsi="宋体" w:eastAsia="宋体" w:cs="宋体"/>
          <w:b/>
          <w:bCs/>
          <w:color w:val="auto"/>
          <w:sz w:val="44"/>
          <w:szCs w:val="44"/>
          <w:highlight w:val="none"/>
        </w:rPr>
      </w:pPr>
    </w:p>
    <w:p w14:paraId="333F109A">
      <w:pPr>
        <w:spacing w:line="300" w:lineRule="auto"/>
        <w:jc w:val="center"/>
        <w:rPr>
          <w:color w:val="auto"/>
          <w:sz w:val="24"/>
          <w:highlight w:val="none"/>
        </w:rPr>
      </w:pPr>
      <w:r>
        <w:rPr>
          <w:rFonts w:hint="eastAsia" w:ascii="宋体" w:hAnsi="宋体" w:eastAsia="宋体" w:cs="宋体"/>
          <w:color w:val="auto"/>
          <w:sz w:val="30"/>
          <w:szCs w:val="30"/>
          <w:highlight w:val="none"/>
        </w:rPr>
        <w:br w:type="page"/>
      </w:r>
    </w:p>
    <w:p w14:paraId="7FE0B22A">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1EA12007">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8ED098E">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5A9B65C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2A985B0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9346F8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B38A3F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199FBD5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活动前三年内在经营活动中没有重大违法记录书面声明</w:t>
      </w:r>
    </w:p>
    <w:p w14:paraId="3C0A3AC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4DAD3B8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FF9ED0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55EF3E5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048EC6A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F3B8CC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、竞价人认为需提供的其他资料</w:t>
      </w:r>
    </w:p>
    <w:p w14:paraId="426887A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、网上竞价承诺书</w:t>
      </w:r>
    </w:p>
    <w:p w14:paraId="5567357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、代理服务费承诺书</w:t>
      </w:r>
    </w:p>
    <w:p w14:paraId="1D8BDAAE">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1665D0C8">
      <w:pPr>
        <w:spacing w:line="500" w:lineRule="atLeast"/>
        <w:rPr>
          <w:rFonts w:ascii="宋体" w:hAnsi="宋体"/>
          <w:b/>
          <w:color w:val="auto"/>
          <w:sz w:val="52"/>
          <w:szCs w:val="52"/>
          <w:highlight w:val="none"/>
        </w:rPr>
      </w:pPr>
    </w:p>
    <w:p w14:paraId="0456BCF1">
      <w:pPr>
        <w:spacing w:line="500" w:lineRule="atLeast"/>
        <w:rPr>
          <w:rFonts w:ascii="宋体" w:hAnsi="宋体"/>
          <w:b/>
          <w:color w:val="auto"/>
          <w:sz w:val="52"/>
          <w:szCs w:val="52"/>
          <w:highlight w:val="none"/>
        </w:rPr>
      </w:pPr>
    </w:p>
    <w:p w14:paraId="4420DB67">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1A5BA3C0">
      <w:pPr>
        <w:spacing w:line="500" w:lineRule="atLeast"/>
        <w:rPr>
          <w:rFonts w:ascii="宋体" w:hAnsi="宋体"/>
          <w:b/>
          <w:bCs/>
          <w:color w:val="auto"/>
          <w:sz w:val="24"/>
          <w:highlight w:val="none"/>
        </w:rPr>
      </w:pPr>
    </w:p>
    <w:p w14:paraId="12AB9B67">
      <w:pPr>
        <w:spacing w:line="500" w:lineRule="atLeast"/>
        <w:rPr>
          <w:rFonts w:ascii="宋体" w:hAnsi="宋体"/>
          <w:b/>
          <w:bCs/>
          <w:color w:val="auto"/>
          <w:sz w:val="24"/>
          <w:highlight w:val="none"/>
        </w:rPr>
      </w:pPr>
    </w:p>
    <w:p w14:paraId="2C986544">
      <w:pPr>
        <w:spacing w:line="500" w:lineRule="atLeast"/>
        <w:rPr>
          <w:rFonts w:ascii="宋体" w:hAnsi="宋体"/>
          <w:b/>
          <w:bCs/>
          <w:color w:val="auto"/>
          <w:sz w:val="24"/>
          <w:highlight w:val="none"/>
        </w:rPr>
      </w:pPr>
    </w:p>
    <w:p w14:paraId="4EA9CCC3">
      <w:pPr>
        <w:spacing w:line="500" w:lineRule="atLeast"/>
        <w:rPr>
          <w:rFonts w:ascii="宋体" w:hAnsi="宋体"/>
          <w:b/>
          <w:bCs/>
          <w:color w:val="auto"/>
          <w:sz w:val="24"/>
          <w:highlight w:val="none"/>
        </w:rPr>
      </w:pPr>
    </w:p>
    <w:p w14:paraId="78F55593">
      <w:pPr>
        <w:spacing w:line="500" w:lineRule="atLeast"/>
        <w:rPr>
          <w:rFonts w:ascii="宋体" w:hAnsi="宋体"/>
          <w:b/>
          <w:bCs/>
          <w:color w:val="auto"/>
          <w:sz w:val="24"/>
          <w:highlight w:val="none"/>
        </w:rPr>
      </w:pPr>
    </w:p>
    <w:p w14:paraId="16120405">
      <w:pPr>
        <w:spacing w:line="500" w:lineRule="atLeast"/>
        <w:rPr>
          <w:rFonts w:ascii="宋体" w:hAnsi="宋体"/>
          <w:b/>
          <w:bCs/>
          <w:color w:val="auto"/>
          <w:sz w:val="24"/>
          <w:highlight w:val="none"/>
        </w:rPr>
      </w:pPr>
    </w:p>
    <w:p w14:paraId="61AE8161">
      <w:pPr>
        <w:spacing w:line="500" w:lineRule="atLeast"/>
        <w:rPr>
          <w:rFonts w:ascii="宋体" w:hAnsi="宋体"/>
          <w:b/>
          <w:bCs/>
          <w:color w:val="auto"/>
          <w:sz w:val="24"/>
          <w:highlight w:val="none"/>
        </w:rPr>
      </w:pPr>
    </w:p>
    <w:p w14:paraId="39FCF859">
      <w:pPr>
        <w:spacing w:line="500" w:lineRule="atLeast"/>
        <w:rPr>
          <w:rFonts w:ascii="宋体" w:hAnsi="宋体"/>
          <w:b/>
          <w:bCs/>
          <w:color w:val="auto"/>
          <w:sz w:val="24"/>
          <w:highlight w:val="none"/>
        </w:rPr>
      </w:pPr>
    </w:p>
    <w:p w14:paraId="16A33322">
      <w:pPr>
        <w:spacing w:line="500" w:lineRule="atLeast"/>
        <w:rPr>
          <w:rFonts w:ascii="宋体" w:hAnsi="宋体"/>
          <w:b/>
          <w:bCs/>
          <w:color w:val="auto"/>
          <w:sz w:val="24"/>
          <w:highlight w:val="none"/>
        </w:rPr>
      </w:pPr>
    </w:p>
    <w:p w14:paraId="6EB13093">
      <w:pPr>
        <w:spacing w:line="500" w:lineRule="atLeast"/>
        <w:rPr>
          <w:rFonts w:ascii="宋体" w:hAnsi="宋体"/>
          <w:b/>
          <w:bCs/>
          <w:color w:val="auto"/>
          <w:sz w:val="24"/>
          <w:highlight w:val="none"/>
        </w:rPr>
      </w:pPr>
    </w:p>
    <w:p w14:paraId="4EE4D410">
      <w:pPr>
        <w:spacing w:line="500" w:lineRule="atLeast"/>
        <w:rPr>
          <w:rFonts w:ascii="宋体" w:hAnsi="宋体"/>
          <w:color w:val="auto"/>
          <w:sz w:val="24"/>
          <w:highlight w:val="none"/>
        </w:rPr>
      </w:pPr>
    </w:p>
    <w:p w14:paraId="6078C10F">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17A7AEE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59E1114B">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DA8B6A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586D8D9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160E854F">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1BE5A47D">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4C74C3E5">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2892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48BA3F68">
            <w:pPr>
              <w:jc w:val="left"/>
              <w:rPr>
                <w:rFonts w:ascii="宋体" w:hAnsi="宋体" w:cs="宋体"/>
                <w:b/>
                <w:color w:val="auto"/>
                <w:kern w:val="0"/>
                <w:sz w:val="24"/>
                <w:highlight w:val="none"/>
              </w:rPr>
            </w:pPr>
          </w:p>
        </w:tc>
      </w:tr>
    </w:tbl>
    <w:p w14:paraId="5268400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AEABBB9">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7CDE279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7DAF7123">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5636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4B745618">
            <w:pPr>
              <w:jc w:val="left"/>
              <w:rPr>
                <w:rFonts w:ascii="宋体" w:hAnsi="宋体" w:cs="宋体"/>
                <w:b/>
                <w:color w:val="auto"/>
                <w:kern w:val="0"/>
                <w:sz w:val="24"/>
                <w:highlight w:val="none"/>
              </w:rPr>
            </w:pPr>
          </w:p>
        </w:tc>
      </w:tr>
    </w:tbl>
    <w:p w14:paraId="3C8FAEA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BA6D386">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3467F81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6E35D0D1">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30B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0EF8615">
            <w:pPr>
              <w:jc w:val="left"/>
              <w:rPr>
                <w:rFonts w:ascii="宋体" w:hAnsi="宋体" w:cs="宋体"/>
                <w:b/>
                <w:color w:val="auto"/>
                <w:kern w:val="0"/>
                <w:sz w:val="24"/>
                <w:highlight w:val="none"/>
              </w:rPr>
            </w:pPr>
          </w:p>
        </w:tc>
      </w:tr>
    </w:tbl>
    <w:p w14:paraId="084B8D09">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4E50B8B2">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CF0285">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0C0D5A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CFB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F428EA1">
            <w:pPr>
              <w:jc w:val="left"/>
              <w:rPr>
                <w:rFonts w:ascii="宋体" w:hAnsi="宋体" w:cs="宋体"/>
                <w:b/>
                <w:color w:val="auto"/>
                <w:kern w:val="0"/>
                <w:sz w:val="24"/>
                <w:highlight w:val="none"/>
              </w:rPr>
            </w:pPr>
          </w:p>
        </w:tc>
      </w:tr>
    </w:tbl>
    <w:p w14:paraId="495FB19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9DF664">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1831E9F6">
      <w:pPr>
        <w:jc w:val="center"/>
        <w:rPr>
          <w:rFonts w:ascii="宋体" w:hAnsi="宋体"/>
          <w:b/>
          <w:bCs/>
          <w:color w:val="auto"/>
          <w:sz w:val="28"/>
          <w:szCs w:val="28"/>
          <w:highlight w:val="none"/>
        </w:rPr>
      </w:pPr>
    </w:p>
    <w:p w14:paraId="1BEC916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227146C7">
      <w:pPr>
        <w:spacing w:line="440" w:lineRule="exact"/>
        <w:rPr>
          <w:rFonts w:ascii="宋体" w:hAnsi="宋体"/>
          <w:color w:val="auto"/>
          <w:sz w:val="24"/>
          <w:szCs w:val="24"/>
          <w:highlight w:val="none"/>
        </w:rPr>
      </w:pPr>
    </w:p>
    <w:p w14:paraId="378E2500">
      <w:pPr>
        <w:pStyle w:val="18"/>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9AAC918">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F721FBD">
      <w:pPr>
        <w:pStyle w:val="18"/>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7DA9C8C4">
      <w:pPr>
        <w:spacing w:line="460" w:lineRule="exact"/>
        <w:rPr>
          <w:rFonts w:ascii="宋体" w:hAnsi="宋体" w:cs="宋体"/>
          <w:color w:val="auto"/>
          <w:kern w:val="0"/>
          <w:sz w:val="24"/>
          <w:szCs w:val="24"/>
          <w:highlight w:val="none"/>
        </w:rPr>
      </w:pPr>
    </w:p>
    <w:p w14:paraId="0A71D82E">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0990F57">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1AA53A4B">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F20C251">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CBB28E0">
      <w:pPr>
        <w:spacing w:line="440" w:lineRule="exact"/>
        <w:rPr>
          <w:rFonts w:ascii="宋体" w:hAnsi="宋体" w:cs="宋体"/>
          <w:b/>
          <w:color w:val="auto"/>
          <w:kern w:val="0"/>
          <w:sz w:val="24"/>
          <w:highlight w:val="none"/>
        </w:rPr>
      </w:pPr>
    </w:p>
    <w:p w14:paraId="6F2BAB8F">
      <w:pPr>
        <w:spacing w:line="440" w:lineRule="exact"/>
        <w:rPr>
          <w:rFonts w:ascii="宋体" w:hAnsi="宋体" w:cs="宋体"/>
          <w:b/>
          <w:color w:val="auto"/>
          <w:kern w:val="0"/>
          <w:sz w:val="24"/>
          <w:highlight w:val="none"/>
        </w:rPr>
      </w:pPr>
    </w:p>
    <w:p w14:paraId="0FE2C059">
      <w:pPr>
        <w:spacing w:line="440" w:lineRule="exact"/>
        <w:rPr>
          <w:rFonts w:ascii="宋体" w:hAnsi="宋体" w:cs="宋体"/>
          <w:b/>
          <w:color w:val="auto"/>
          <w:kern w:val="0"/>
          <w:sz w:val="24"/>
          <w:highlight w:val="none"/>
        </w:rPr>
      </w:pPr>
    </w:p>
    <w:p w14:paraId="1643E8D6">
      <w:pPr>
        <w:spacing w:line="440" w:lineRule="exact"/>
        <w:rPr>
          <w:rFonts w:ascii="宋体" w:hAnsi="宋体" w:cs="宋体"/>
          <w:b/>
          <w:color w:val="auto"/>
          <w:kern w:val="0"/>
          <w:sz w:val="24"/>
          <w:highlight w:val="none"/>
        </w:rPr>
      </w:pPr>
    </w:p>
    <w:p w14:paraId="5CC22F08">
      <w:pPr>
        <w:spacing w:line="440" w:lineRule="exact"/>
        <w:rPr>
          <w:rFonts w:ascii="宋体" w:hAnsi="宋体" w:cs="宋体"/>
          <w:b/>
          <w:color w:val="auto"/>
          <w:kern w:val="0"/>
          <w:sz w:val="24"/>
          <w:highlight w:val="none"/>
        </w:rPr>
      </w:pPr>
    </w:p>
    <w:p w14:paraId="7A76521F">
      <w:pPr>
        <w:spacing w:line="440" w:lineRule="exact"/>
        <w:rPr>
          <w:rFonts w:ascii="宋体" w:hAnsi="宋体" w:cs="宋体"/>
          <w:b/>
          <w:color w:val="auto"/>
          <w:kern w:val="0"/>
          <w:sz w:val="24"/>
          <w:highlight w:val="none"/>
        </w:rPr>
      </w:pPr>
    </w:p>
    <w:p w14:paraId="41A1650F">
      <w:pPr>
        <w:spacing w:line="440" w:lineRule="exact"/>
        <w:rPr>
          <w:rFonts w:ascii="宋体" w:hAnsi="宋体" w:cs="宋体"/>
          <w:b/>
          <w:color w:val="auto"/>
          <w:kern w:val="0"/>
          <w:sz w:val="24"/>
          <w:highlight w:val="none"/>
        </w:rPr>
      </w:pPr>
    </w:p>
    <w:p w14:paraId="2EA4AF06">
      <w:pPr>
        <w:spacing w:line="440" w:lineRule="exact"/>
        <w:rPr>
          <w:rFonts w:ascii="宋体" w:hAnsi="宋体" w:cs="宋体"/>
          <w:b/>
          <w:color w:val="auto"/>
          <w:kern w:val="0"/>
          <w:sz w:val="24"/>
          <w:highlight w:val="none"/>
        </w:rPr>
      </w:pPr>
    </w:p>
    <w:p w14:paraId="53B2B93B">
      <w:pPr>
        <w:spacing w:line="440" w:lineRule="exact"/>
        <w:rPr>
          <w:rFonts w:ascii="宋体" w:hAnsi="宋体" w:cs="宋体"/>
          <w:b/>
          <w:color w:val="auto"/>
          <w:kern w:val="0"/>
          <w:sz w:val="24"/>
          <w:highlight w:val="none"/>
        </w:rPr>
      </w:pPr>
    </w:p>
    <w:p w14:paraId="53C96A89">
      <w:pPr>
        <w:spacing w:line="440" w:lineRule="exact"/>
        <w:rPr>
          <w:rFonts w:ascii="宋体" w:hAnsi="宋体" w:cs="宋体"/>
          <w:b/>
          <w:color w:val="auto"/>
          <w:kern w:val="0"/>
          <w:sz w:val="24"/>
          <w:highlight w:val="none"/>
        </w:rPr>
      </w:pPr>
    </w:p>
    <w:p w14:paraId="1673D66C">
      <w:pPr>
        <w:spacing w:line="440" w:lineRule="exact"/>
        <w:rPr>
          <w:rFonts w:ascii="宋体" w:hAnsi="宋体" w:cs="宋体"/>
          <w:b/>
          <w:color w:val="auto"/>
          <w:kern w:val="0"/>
          <w:sz w:val="24"/>
          <w:highlight w:val="none"/>
        </w:rPr>
      </w:pPr>
    </w:p>
    <w:p w14:paraId="24CC6377">
      <w:pPr>
        <w:spacing w:line="440" w:lineRule="exact"/>
        <w:rPr>
          <w:rFonts w:ascii="宋体" w:hAnsi="宋体" w:cs="宋体"/>
          <w:b/>
          <w:color w:val="auto"/>
          <w:kern w:val="0"/>
          <w:sz w:val="24"/>
          <w:highlight w:val="none"/>
        </w:rPr>
      </w:pPr>
    </w:p>
    <w:p w14:paraId="27CB04DB">
      <w:pPr>
        <w:spacing w:line="440" w:lineRule="exact"/>
        <w:rPr>
          <w:rFonts w:ascii="宋体" w:hAnsi="宋体" w:cs="宋体"/>
          <w:b/>
          <w:color w:val="auto"/>
          <w:kern w:val="0"/>
          <w:sz w:val="24"/>
          <w:highlight w:val="none"/>
        </w:rPr>
      </w:pPr>
    </w:p>
    <w:p w14:paraId="41194390">
      <w:pPr>
        <w:spacing w:line="440" w:lineRule="exact"/>
        <w:rPr>
          <w:rFonts w:ascii="宋体" w:hAnsi="宋体" w:cs="宋体"/>
          <w:b/>
          <w:color w:val="auto"/>
          <w:kern w:val="0"/>
          <w:sz w:val="24"/>
          <w:highlight w:val="none"/>
        </w:rPr>
      </w:pPr>
    </w:p>
    <w:p w14:paraId="673661E0">
      <w:pPr>
        <w:spacing w:line="440" w:lineRule="exact"/>
        <w:rPr>
          <w:rFonts w:ascii="宋体" w:hAnsi="宋体" w:cs="宋体"/>
          <w:b/>
          <w:color w:val="auto"/>
          <w:kern w:val="0"/>
          <w:sz w:val="24"/>
          <w:highlight w:val="none"/>
        </w:rPr>
      </w:pPr>
    </w:p>
    <w:p w14:paraId="08AEB4B1">
      <w:pPr>
        <w:spacing w:line="440" w:lineRule="exact"/>
        <w:rPr>
          <w:rFonts w:ascii="宋体" w:hAnsi="宋体" w:cs="宋体"/>
          <w:b/>
          <w:color w:val="auto"/>
          <w:kern w:val="0"/>
          <w:sz w:val="24"/>
          <w:highlight w:val="none"/>
        </w:rPr>
      </w:pPr>
    </w:p>
    <w:p w14:paraId="74AC89D4">
      <w:pPr>
        <w:spacing w:line="440" w:lineRule="exact"/>
        <w:rPr>
          <w:rFonts w:ascii="宋体" w:hAnsi="宋体" w:cs="宋体"/>
          <w:b/>
          <w:color w:val="auto"/>
          <w:kern w:val="0"/>
          <w:sz w:val="24"/>
          <w:highlight w:val="none"/>
        </w:rPr>
      </w:pPr>
    </w:p>
    <w:p w14:paraId="55939027">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2E51155D">
      <w:pPr>
        <w:jc w:val="center"/>
        <w:rPr>
          <w:rFonts w:ascii="宋体" w:hAnsi="宋体"/>
          <w:b/>
          <w:bCs/>
          <w:color w:val="auto"/>
          <w:sz w:val="28"/>
          <w:szCs w:val="28"/>
          <w:highlight w:val="none"/>
        </w:rPr>
      </w:pPr>
    </w:p>
    <w:p w14:paraId="0B7D7273">
      <w:pPr>
        <w:jc w:val="center"/>
        <w:rPr>
          <w:rFonts w:ascii="宋体" w:hAnsi="宋体"/>
          <w:b/>
          <w:bCs/>
          <w:color w:val="auto"/>
          <w:sz w:val="28"/>
          <w:szCs w:val="28"/>
          <w:highlight w:val="none"/>
        </w:rPr>
      </w:pPr>
      <w:r>
        <w:rPr>
          <w:rFonts w:hint="eastAsia" w:ascii="宋体" w:hAnsi="宋体"/>
          <w:b/>
          <w:bCs/>
          <w:color w:val="auto"/>
          <w:sz w:val="28"/>
          <w:szCs w:val="28"/>
          <w:highlight w:val="none"/>
        </w:rPr>
        <w:t>参加</w:t>
      </w:r>
      <w:r>
        <w:rPr>
          <w:rFonts w:hint="eastAsia" w:ascii="宋体" w:hAnsi="宋体"/>
          <w:b/>
          <w:bCs/>
          <w:color w:val="auto"/>
          <w:sz w:val="28"/>
          <w:szCs w:val="28"/>
          <w:highlight w:val="none"/>
          <w:lang w:eastAsia="zh-CN"/>
        </w:rPr>
        <w:t>招标</w:t>
      </w:r>
      <w:r>
        <w:rPr>
          <w:rFonts w:hint="eastAsia" w:ascii="宋体" w:hAnsi="宋体"/>
          <w:b/>
          <w:bCs/>
          <w:color w:val="auto"/>
          <w:sz w:val="28"/>
          <w:szCs w:val="28"/>
          <w:highlight w:val="none"/>
        </w:rPr>
        <w:t>活动前三年内在经营活动中没有重大违法记录书面声明</w:t>
      </w:r>
    </w:p>
    <w:p w14:paraId="153A8DF8">
      <w:pPr>
        <w:pStyle w:val="18"/>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726CEA6F">
      <w:pPr>
        <w:pStyle w:val="18"/>
        <w:widowControl/>
        <w:ind w:firstLine="420"/>
        <w:rPr>
          <w:rFonts w:ascii="宋体" w:hAnsi="宋体"/>
          <w:color w:val="auto"/>
          <w:szCs w:val="24"/>
          <w:highlight w:val="none"/>
        </w:rPr>
      </w:pPr>
      <w:r>
        <w:rPr>
          <w:rFonts w:hint="eastAsia" w:ascii="宋体" w:hAnsi="宋体" w:cs="宋体"/>
          <w:color w:val="auto"/>
          <w:szCs w:val="24"/>
          <w:highlight w:val="none"/>
        </w:rPr>
        <w:t>参加</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活动前三年内，我方在经营活动中没有重大违法记录，也无行贿犯罪记录，否则产生不利后果由我方承担责任。</w:t>
      </w:r>
    </w:p>
    <w:p w14:paraId="29389AAF">
      <w:pPr>
        <w:pStyle w:val="18"/>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FE6ECE5">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56565E74">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25B99B70">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608C4347">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50A1432C">
      <w:pPr>
        <w:spacing w:line="440" w:lineRule="exact"/>
        <w:rPr>
          <w:rFonts w:ascii="宋体" w:hAnsi="宋体" w:cs="宋体"/>
          <w:b/>
          <w:color w:val="auto"/>
          <w:kern w:val="0"/>
          <w:sz w:val="24"/>
          <w:highlight w:val="none"/>
        </w:rPr>
      </w:pPr>
    </w:p>
    <w:p w14:paraId="6F71BAE1">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7B476E6A">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1D3DEE7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4FA9B6A1">
      <w:pPr>
        <w:ind w:firstLine="480" w:firstLineChars="200"/>
        <w:jc w:val="left"/>
        <w:rPr>
          <w:rFonts w:ascii="宋体" w:hAnsi="宋体"/>
          <w:color w:val="auto"/>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01C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13C90C5">
            <w:pPr>
              <w:jc w:val="left"/>
              <w:rPr>
                <w:rFonts w:ascii="宋体" w:hAnsi="宋体" w:cs="宋体"/>
                <w:b/>
                <w:color w:val="auto"/>
                <w:kern w:val="0"/>
                <w:sz w:val="24"/>
                <w:highlight w:val="none"/>
              </w:rPr>
            </w:pPr>
          </w:p>
        </w:tc>
      </w:tr>
    </w:tbl>
    <w:p w14:paraId="595A6946">
      <w:pPr>
        <w:rPr>
          <w:color w:val="auto"/>
          <w:highlight w:val="none"/>
        </w:rPr>
      </w:pPr>
    </w:p>
    <w:p w14:paraId="712B85F1">
      <w:pPr>
        <w:pStyle w:val="3"/>
        <w:rPr>
          <w:color w:val="auto"/>
          <w:highlight w:val="none"/>
        </w:rPr>
      </w:pPr>
    </w:p>
    <w:p w14:paraId="23267161">
      <w:pPr>
        <w:pStyle w:val="46"/>
        <w:spacing w:line="500" w:lineRule="exact"/>
        <w:jc w:val="left"/>
        <w:rPr>
          <w:rFonts w:hAnsi="宋体" w:cs="宋体"/>
          <w:b/>
          <w:color w:val="auto"/>
          <w:kern w:val="0"/>
          <w:sz w:val="24"/>
          <w:highlight w:val="none"/>
        </w:rPr>
      </w:pPr>
    </w:p>
    <w:p w14:paraId="0795FC8A">
      <w:pPr>
        <w:pStyle w:val="46"/>
        <w:spacing w:line="500" w:lineRule="exact"/>
        <w:jc w:val="left"/>
        <w:rPr>
          <w:rFonts w:hAnsi="宋体" w:cs="宋体"/>
          <w:b/>
          <w:color w:val="auto"/>
          <w:kern w:val="0"/>
          <w:sz w:val="24"/>
          <w:highlight w:val="none"/>
        </w:rPr>
      </w:pPr>
    </w:p>
    <w:p w14:paraId="021284D3">
      <w:pPr>
        <w:pStyle w:val="46"/>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94C8916">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资格承诺函</w:t>
      </w:r>
    </w:p>
    <w:p w14:paraId="3CF60F7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人或</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代理机构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C06E03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lang w:eastAsia="zh-CN"/>
        </w:rPr>
        <w:t>：</w:t>
      </w:r>
    </w:p>
    <w:p w14:paraId="48F06F8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1450041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负责人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279BE0F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r>
        <w:rPr>
          <w:rFonts w:hint="eastAsia" w:ascii="宋体" w:hAnsi="宋体" w:cs="宋体"/>
          <w:color w:val="auto"/>
          <w:sz w:val="24"/>
          <w:szCs w:val="24"/>
          <w:highlight w:val="none"/>
          <w:lang w:eastAsia="zh-CN"/>
        </w:rPr>
        <w:t>：</w:t>
      </w:r>
    </w:p>
    <w:p w14:paraId="485E0E99">
      <w:pPr>
        <w:spacing w:line="560" w:lineRule="exact"/>
        <w:rPr>
          <w:rFonts w:ascii="宋体" w:hAnsi="宋体" w:cs="宋体"/>
          <w:color w:val="auto"/>
          <w:sz w:val="24"/>
          <w:szCs w:val="24"/>
          <w:highlight w:val="none"/>
        </w:rPr>
      </w:pPr>
    </w:p>
    <w:p w14:paraId="5CC067A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自愿参加本次</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活动，严格遵守相关法律法规，坚守公开、公平公正和诚实信用等原则，依法诚信经营，并郑重承诺</w:t>
      </w:r>
      <w:r>
        <w:rPr>
          <w:rFonts w:hint="eastAsia" w:ascii="宋体" w:hAnsi="宋体" w:cs="宋体"/>
          <w:color w:val="auto"/>
          <w:sz w:val="24"/>
          <w:szCs w:val="24"/>
          <w:highlight w:val="none"/>
          <w:lang w:eastAsia="zh-CN"/>
        </w:rPr>
        <w:t>：</w:t>
      </w:r>
    </w:p>
    <w:p w14:paraId="368EEA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具备</w:t>
      </w:r>
      <w:r>
        <w:rPr>
          <w:rFonts w:hint="eastAsia" w:ascii="宋体" w:hAnsi="宋体" w:cs="宋体"/>
          <w:color w:val="auto"/>
          <w:sz w:val="24"/>
          <w:szCs w:val="24"/>
          <w:highlight w:val="none"/>
          <w:lang w:val="en-US" w:eastAsia="zh-CN"/>
        </w:rPr>
        <w:t>竞价</w:t>
      </w:r>
      <w:r>
        <w:rPr>
          <w:rFonts w:hint="eastAsia" w:ascii="宋体" w:hAnsi="宋体" w:cs="宋体"/>
          <w:color w:val="auto"/>
          <w:sz w:val="24"/>
          <w:szCs w:val="24"/>
          <w:highlight w:val="none"/>
        </w:rPr>
        <w:t>文件要求的条件</w:t>
      </w:r>
      <w:r>
        <w:rPr>
          <w:rFonts w:hint="eastAsia" w:ascii="宋体" w:hAnsi="宋体" w:cs="宋体"/>
          <w:color w:val="auto"/>
          <w:sz w:val="24"/>
          <w:szCs w:val="24"/>
          <w:highlight w:val="none"/>
          <w:lang w:eastAsia="zh-CN"/>
        </w:rPr>
        <w:t>：</w:t>
      </w:r>
    </w:p>
    <w:p w14:paraId="3761DE4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r>
        <w:rPr>
          <w:rFonts w:hint="eastAsia" w:ascii="宋体" w:hAnsi="宋体" w:cs="宋体"/>
          <w:color w:val="auto"/>
          <w:sz w:val="24"/>
          <w:szCs w:val="24"/>
          <w:highlight w:val="none"/>
          <w:lang w:eastAsia="zh-CN"/>
        </w:rPr>
        <w:t>；</w:t>
      </w:r>
    </w:p>
    <w:p w14:paraId="5607EC2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r>
        <w:rPr>
          <w:rFonts w:hint="eastAsia" w:ascii="宋体" w:hAnsi="宋体" w:cs="宋体"/>
          <w:color w:val="auto"/>
          <w:sz w:val="24"/>
          <w:szCs w:val="24"/>
          <w:highlight w:val="none"/>
          <w:lang w:eastAsia="zh-CN"/>
        </w:rPr>
        <w:t>；</w:t>
      </w:r>
    </w:p>
    <w:p w14:paraId="4ED5C51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r>
        <w:rPr>
          <w:rFonts w:hint="eastAsia" w:ascii="宋体" w:hAnsi="宋体" w:cs="宋体"/>
          <w:color w:val="auto"/>
          <w:sz w:val="24"/>
          <w:szCs w:val="24"/>
          <w:highlight w:val="none"/>
          <w:lang w:eastAsia="zh-CN"/>
        </w:rPr>
        <w:t>；</w:t>
      </w:r>
    </w:p>
    <w:p w14:paraId="18A3D65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r>
        <w:rPr>
          <w:rFonts w:hint="eastAsia" w:ascii="宋体" w:hAnsi="宋体" w:cs="宋体"/>
          <w:color w:val="auto"/>
          <w:sz w:val="24"/>
          <w:szCs w:val="24"/>
          <w:highlight w:val="none"/>
          <w:lang w:eastAsia="zh-CN"/>
        </w:rPr>
        <w:t>；</w:t>
      </w:r>
    </w:p>
    <w:p w14:paraId="613206A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活动前三年内，在经营活动中没有重大违法记录；</w:t>
      </w:r>
    </w:p>
    <w:p w14:paraId="1D8184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0C1E560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D3E853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对本承诺函及所承诺事项的真实性、合法性及有效性负责，并已知晓如所作信用承诺不实，可能涉嫌《中华人民共和国政府采购法》第七十七条第一款第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项规定的“提供虚假材料谋取中标成交”违法情形。经调查属实的，愿意接受行政监管部门按照《中华人民共和国政府采购法》第七十七条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w:t>
      </w:r>
      <w:r>
        <w:rPr>
          <w:rFonts w:hint="eastAsia" w:ascii="宋体" w:hAnsi="宋体" w:cs="宋体"/>
          <w:color w:val="auto"/>
          <w:sz w:val="24"/>
          <w:szCs w:val="24"/>
          <w:highlight w:val="none"/>
          <w:lang w:eastAsia="zh-CN"/>
        </w:rPr>
        <w:t>规的</w:t>
      </w:r>
      <w:r>
        <w:rPr>
          <w:rFonts w:hint="eastAsia" w:ascii="宋体" w:hAnsi="宋体" w:cs="宋体"/>
          <w:color w:val="auto"/>
          <w:sz w:val="24"/>
          <w:szCs w:val="24"/>
          <w:highlight w:val="none"/>
        </w:rPr>
        <w:t>有关规定处理。</w:t>
      </w:r>
    </w:p>
    <w:p w14:paraId="6D9FCE9C">
      <w:pPr>
        <w:spacing w:line="560" w:lineRule="exact"/>
        <w:rPr>
          <w:rFonts w:ascii="宋体" w:hAnsi="宋体" w:cs="宋体"/>
          <w:color w:val="auto"/>
          <w:sz w:val="24"/>
          <w:szCs w:val="24"/>
          <w:highlight w:val="none"/>
        </w:rPr>
      </w:pPr>
    </w:p>
    <w:p w14:paraId="2D88658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单位公章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7F42C62">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1330875">
      <w:pPr>
        <w:spacing w:line="560" w:lineRule="exact"/>
        <w:rPr>
          <w:rFonts w:ascii="宋体" w:hAnsi="宋体" w:cs="宋体"/>
          <w:color w:val="auto"/>
          <w:sz w:val="32"/>
          <w:szCs w:val="32"/>
          <w:highlight w:val="none"/>
        </w:rPr>
      </w:pPr>
    </w:p>
    <w:p w14:paraId="5D220533">
      <w:pPr>
        <w:spacing w:line="560" w:lineRule="exact"/>
        <w:rPr>
          <w:rFonts w:ascii="宋体" w:hAnsi="宋体" w:cs="宋体"/>
          <w:color w:val="auto"/>
          <w:sz w:val="32"/>
          <w:szCs w:val="32"/>
          <w:highlight w:val="none"/>
        </w:rPr>
      </w:pPr>
    </w:p>
    <w:p w14:paraId="795D092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p>
    <w:p w14:paraId="68F194D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专指参加政府采购活动的供应商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含自然人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31A2B01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8294598">
      <w:pPr>
        <w:pStyle w:val="46"/>
        <w:spacing w:line="500" w:lineRule="exact"/>
        <w:jc w:val="left"/>
        <w:rPr>
          <w:rFonts w:hAnsi="宋体" w:cs="宋体"/>
          <w:b/>
          <w:color w:val="auto"/>
          <w:kern w:val="0"/>
          <w:sz w:val="24"/>
          <w:highlight w:val="none"/>
        </w:rPr>
      </w:pPr>
    </w:p>
    <w:p w14:paraId="537B67A2">
      <w:pPr>
        <w:pStyle w:val="46"/>
        <w:spacing w:line="500" w:lineRule="exact"/>
        <w:jc w:val="left"/>
        <w:rPr>
          <w:rFonts w:hAnsi="宋体" w:cs="宋体"/>
          <w:b/>
          <w:color w:val="auto"/>
          <w:kern w:val="0"/>
          <w:sz w:val="24"/>
          <w:highlight w:val="none"/>
        </w:rPr>
      </w:pPr>
    </w:p>
    <w:p w14:paraId="005715C4">
      <w:pPr>
        <w:pStyle w:val="46"/>
        <w:spacing w:line="500" w:lineRule="exact"/>
        <w:jc w:val="left"/>
        <w:rPr>
          <w:rFonts w:hAnsi="宋体" w:cs="宋体"/>
          <w:b/>
          <w:color w:val="auto"/>
          <w:kern w:val="0"/>
          <w:sz w:val="24"/>
          <w:highlight w:val="none"/>
        </w:rPr>
      </w:pPr>
    </w:p>
    <w:p w14:paraId="04758190">
      <w:pPr>
        <w:pStyle w:val="46"/>
        <w:spacing w:line="500" w:lineRule="exact"/>
        <w:jc w:val="left"/>
        <w:rPr>
          <w:rFonts w:hAnsi="宋体" w:cs="宋体"/>
          <w:b/>
          <w:color w:val="auto"/>
          <w:kern w:val="0"/>
          <w:sz w:val="24"/>
          <w:highlight w:val="none"/>
        </w:rPr>
      </w:pPr>
    </w:p>
    <w:p w14:paraId="4751BD59">
      <w:pPr>
        <w:pStyle w:val="46"/>
        <w:spacing w:line="500" w:lineRule="exact"/>
        <w:jc w:val="left"/>
        <w:rPr>
          <w:rFonts w:hAnsi="宋体" w:cs="宋体"/>
          <w:b/>
          <w:color w:val="auto"/>
          <w:kern w:val="0"/>
          <w:sz w:val="24"/>
          <w:highlight w:val="none"/>
        </w:rPr>
      </w:pPr>
    </w:p>
    <w:p w14:paraId="5FAF1734">
      <w:pPr>
        <w:pStyle w:val="46"/>
        <w:spacing w:line="500" w:lineRule="exact"/>
        <w:jc w:val="left"/>
        <w:rPr>
          <w:rFonts w:hAnsi="宋体" w:cs="宋体"/>
          <w:b/>
          <w:color w:val="auto"/>
          <w:kern w:val="0"/>
          <w:sz w:val="24"/>
          <w:highlight w:val="none"/>
        </w:rPr>
      </w:pPr>
    </w:p>
    <w:p w14:paraId="433E28F4">
      <w:pPr>
        <w:pStyle w:val="46"/>
        <w:spacing w:line="500" w:lineRule="exact"/>
        <w:jc w:val="left"/>
        <w:rPr>
          <w:rFonts w:hAnsi="宋体" w:cs="宋体"/>
          <w:b/>
          <w:color w:val="auto"/>
          <w:kern w:val="0"/>
          <w:sz w:val="24"/>
          <w:highlight w:val="none"/>
        </w:rPr>
      </w:pPr>
    </w:p>
    <w:p w14:paraId="6EE1AA2B">
      <w:pPr>
        <w:pStyle w:val="46"/>
        <w:spacing w:line="500" w:lineRule="exact"/>
        <w:jc w:val="left"/>
        <w:rPr>
          <w:rFonts w:hAnsi="宋体" w:cs="宋体"/>
          <w:b/>
          <w:color w:val="auto"/>
          <w:kern w:val="0"/>
          <w:sz w:val="24"/>
          <w:highlight w:val="none"/>
        </w:rPr>
      </w:pPr>
    </w:p>
    <w:p w14:paraId="45A9FDC7">
      <w:pPr>
        <w:pStyle w:val="46"/>
        <w:spacing w:line="500" w:lineRule="exact"/>
        <w:jc w:val="left"/>
        <w:rPr>
          <w:rFonts w:hAnsi="宋体" w:cs="宋体"/>
          <w:b/>
          <w:color w:val="auto"/>
          <w:kern w:val="0"/>
          <w:sz w:val="24"/>
          <w:highlight w:val="none"/>
        </w:rPr>
      </w:pPr>
    </w:p>
    <w:p w14:paraId="4D11DD87">
      <w:pPr>
        <w:pStyle w:val="46"/>
        <w:spacing w:line="500" w:lineRule="exact"/>
        <w:jc w:val="left"/>
        <w:rPr>
          <w:rFonts w:hAnsi="宋体" w:cs="宋体"/>
          <w:b/>
          <w:color w:val="auto"/>
          <w:kern w:val="0"/>
          <w:sz w:val="24"/>
          <w:highlight w:val="none"/>
        </w:rPr>
      </w:pPr>
    </w:p>
    <w:p w14:paraId="40F5F93A">
      <w:pPr>
        <w:pStyle w:val="46"/>
        <w:spacing w:line="500" w:lineRule="exact"/>
        <w:jc w:val="left"/>
        <w:rPr>
          <w:rFonts w:hint="eastAsia" w:hAnsi="宋体" w:cs="宋体"/>
          <w:b/>
          <w:color w:val="auto"/>
          <w:kern w:val="0"/>
          <w:sz w:val="24"/>
          <w:highlight w:val="none"/>
        </w:rPr>
      </w:pPr>
    </w:p>
    <w:p w14:paraId="39FB7D43">
      <w:pPr>
        <w:pStyle w:val="46"/>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6D28AB2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35227AB6">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F913F8C">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授权</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092B3B55">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A3A53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47B88FD1">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2F162990">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hint="eastAsia" w:ascii="宋体" w:hAnsi="宋体"/>
          <w:color w:val="auto"/>
          <w:sz w:val="24"/>
          <w:highlight w:val="none"/>
          <w:lang w:eastAsia="zh-CN"/>
        </w:rPr>
        <w:t>：</w:t>
      </w:r>
      <w:r>
        <w:rPr>
          <w:rFonts w:hint="eastAsia" w:ascii="宋体" w:hAnsi="宋体"/>
          <w:color w:val="auto"/>
          <w:sz w:val="24"/>
          <w:highlight w:val="none"/>
        </w:rPr>
        <w:t xml:space="preserve"> 电话：</w:t>
      </w:r>
    </w:p>
    <w:p w14:paraId="034D45C5">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4AC0B6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773FDA3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2B6479B0">
      <w:pPr>
        <w:spacing w:line="500" w:lineRule="exact"/>
        <w:rPr>
          <w:rFonts w:ascii="宋体" w:hAnsi="宋体"/>
          <w:color w:val="auto"/>
          <w:sz w:val="24"/>
          <w:highlight w:val="none"/>
        </w:rPr>
      </w:pPr>
    </w:p>
    <w:p w14:paraId="1DB1C4E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305573">
      <w:pPr>
        <w:spacing w:line="500" w:lineRule="exact"/>
        <w:rPr>
          <w:rFonts w:ascii="宋体" w:hAnsi="宋体"/>
          <w:color w:val="auto"/>
          <w:sz w:val="24"/>
          <w:highlight w:val="none"/>
        </w:rPr>
      </w:pPr>
    </w:p>
    <w:p w14:paraId="7B6CD67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C7F9D92">
      <w:pPr>
        <w:spacing w:line="500" w:lineRule="exact"/>
        <w:rPr>
          <w:rFonts w:ascii="宋体" w:hAnsi="宋体"/>
          <w:color w:val="auto"/>
          <w:sz w:val="24"/>
          <w:highlight w:val="none"/>
        </w:rPr>
      </w:pPr>
    </w:p>
    <w:p w14:paraId="5660434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119D372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4C7F1896">
      <w:pPr>
        <w:spacing w:line="500" w:lineRule="exact"/>
        <w:rPr>
          <w:rFonts w:ascii="宋体" w:hAnsi="宋体"/>
          <w:color w:val="auto"/>
          <w:sz w:val="24"/>
          <w:highlight w:val="none"/>
        </w:rPr>
      </w:pPr>
    </w:p>
    <w:p w14:paraId="787E3B78">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07EDB42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59A44B81">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4E9AE47B">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608717A">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6570BDE9">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（项目编号）</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2284FF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7747C96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97218C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1F21FC0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1E75D7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03A75A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w:t>
      </w:r>
      <w:r>
        <w:rPr>
          <w:rFonts w:hint="eastAsia" w:ascii="宋体" w:hAnsi="宋体" w:cs="Arial"/>
          <w:color w:val="auto"/>
          <w:sz w:val="24"/>
          <w:highlight w:val="none"/>
          <w:lang w:eastAsia="zh-CN"/>
        </w:rPr>
        <w:t>招标</w:t>
      </w:r>
      <w:r>
        <w:rPr>
          <w:rFonts w:hint="eastAsia" w:ascii="宋体" w:hAnsi="宋体" w:cs="Arial"/>
          <w:color w:val="auto"/>
          <w:sz w:val="24"/>
          <w:highlight w:val="none"/>
        </w:rPr>
        <w:t>活动前三年内在经营活动中没有重大违法记录书面声明</w:t>
      </w:r>
    </w:p>
    <w:p w14:paraId="5135808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76CC71D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4B987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1387342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428AD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3D570B6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w:t>
      </w:r>
      <w:r>
        <w:rPr>
          <w:rFonts w:hint="eastAsia" w:ascii="宋体" w:hAnsi="宋体" w:cs="Arial"/>
          <w:color w:val="auto"/>
          <w:sz w:val="24"/>
          <w:szCs w:val="22"/>
          <w:highlight w:val="none"/>
          <w:lang w:val="en-US" w:eastAsia="zh-CN"/>
        </w:rPr>
        <w:t>12</w:t>
      </w:r>
      <w:r>
        <w:rPr>
          <w:rFonts w:hint="eastAsia" w:ascii="宋体" w:hAnsi="宋体" w:cs="Arial"/>
          <w:color w:val="auto"/>
          <w:sz w:val="24"/>
          <w:szCs w:val="22"/>
          <w:highlight w:val="none"/>
        </w:rPr>
        <w:t>）竞价人认为需提供的其他资料</w:t>
      </w:r>
    </w:p>
    <w:p w14:paraId="5F5050C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w:t>
      </w:r>
      <w:r>
        <w:rPr>
          <w:rFonts w:hint="eastAsia" w:ascii="宋体" w:hAnsi="宋体" w:cs="Arial"/>
          <w:color w:val="auto"/>
          <w:sz w:val="24"/>
          <w:highlight w:val="none"/>
          <w:lang w:val="en-US" w:eastAsia="zh-CN"/>
        </w:rPr>
        <w:t>13</w:t>
      </w:r>
      <w:r>
        <w:rPr>
          <w:rFonts w:hint="eastAsia" w:ascii="宋体" w:hAnsi="宋体" w:cs="Arial"/>
          <w:color w:val="auto"/>
          <w:sz w:val="24"/>
          <w:highlight w:val="none"/>
        </w:rPr>
        <w:t>）网上竞价承诺书</w:t>
      </w:r>
    </w:p>
    <w:p w14:paraId="444B661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w:t>
      </w:r>
      <w:r>
        <w:rPr>
          <w:rFonts w:hint="eastAsia" w:ascii="宋体" w:hAnsi="宋体" w:cs="Arial"/>
          <w:color w:val="auto"/>
          <w:sz w:val="24"/>
          <w:highlight w:val="none"/>
          <w:lang w:val="en-US" w:eastAsia="zh-CN"/>
        </w:rPr>
        <w:t>14</w:t>
      </w:r>
      <w:r>
        <w:rPr>
          <w:rFonts w:hint="eastAsia" w:ascii="宋体" w:hAnsi="宋体" w:cs="Arial"/>
          <w:color w:val="auto"/>
          <w:sz w:val="24"/>
          <w:highlight w:val="none"/>
        </w:rPr>
        <w:t>）代理服务费承诺书</w:t>
      </w:r>
    </w:p>
    <w:p w14:paraId="5656AF8E">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1B6CFAB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77F16C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1FDE76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w:t>
      </w:r>
    </w:p>
    <w:p w14:paraId="6CE1BCC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52D289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w:t>
      </w:r>
      <w:r>
        <w:rPr>
          <w:rFonts w:hint="eastAsia" w:ascii="宋体" w:hAnsi="宋体" w:cs="宋体"/>
          <w:bCs/>
          <w:color w:val="auto"/>
          <w:kern w:val="0"/>
          <w:sz w:val="24"/>
          <w:highlight w:val="none"/>
          <w:lang w:eastAsia="zh-CN"/>
        </w:rPr>
        <w:t>履行义务</w:t>
      </w:r>
      <w:r>
        <w:rPr>
          <w:rFonts w:ascii="宋体" w:hAnsi="宋体" w:cs="宋体"/>
          <w:bCs/>
          <w:color w:val="auto"/>
          <w:kern w:val="0"/>
          <w:sz w:val="24"/>
          <w:highlight w:val="none"/>
        </w:rPr>
        <w:t>，</w:t>
      </w:r>
      <w:r>
        <w:rPr>
          <w:rFonts w:ascii="宋体" w:hAnsi="宋体" w:cs="宋体"/>
          <w:color w:val="auto"/>
          <w:kern w:val="0"/>
          <w:sz w:val="24"/>
          <w:highlight w:val="none"/>
        </w:rPr>
        <w:t>贵方有权取消我方竞价供货资格，</w:t>
      </w:r>
      <w:r>
        <w:rPr>
          <w:rFonts w:hint="eastAsia" w:ascii="宋体" w:hAnsi="宋体" w:cs="宋体"/>
          <w:color w:val="auto"/>
          <w:kern w:val="0"/>
          <w:sz w:val="24"/>
          <w:highlight w:val="none"/>
          <w:lang w:eastAsia="zh-CN"/>
        </w:rPr>
        <w:t>接受</w:t>
      </w:r>
      <w:r>
        <w:rPr>
          <w:rFonts w:ascii="宋体" w:hAnsi="宋体" w:cs="宋体"/>
          <w:color w:val="auto"/>
          <w:kern w:val="0"/>
          <w:sz w:val="24"/>
          <w:highlight w:val="none"/>
        </w:rPr>
        <w:t>有关法规对我方的处罚。</w:t>
      </w:r>
    </w:p>
    <w:p w14:paraId="3B1D188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6C66DE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6E25EF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w:t>
      </w:r>
      <w:r>
        <w:rPr>
          <w:rFonts w:hint="eastAsia" w:ascii="宋体" w:hAnsi="宋体" w:cs="Arial"/>
          <w:color w:val="auto"/>
          <w:sz w:val="24"/>
          <w:highlight w:val="none"/>
          <w:lang w:eastAsia="zh-CN"/>
        </w:rPr>
        <w:t>招标</w:t>
      </w:r>
      <w:r>
        <w:rPr>
          <w:rFonts w:hint="eastAsia" w:ascii="宋体" w:hAnsi="宋体" w:cs="Arial"/>
          <w:color w:val="auto"/>
          <w:sz w:val="24"/>
          <w:highlight w:val="none"/>
        </w:rPr>
        <w:t>，我们作为竞价人已熟知、清楚，保证竞价文件中所提供的所有文件资料是真实、合法、有效的。</w:t>
      </w:r>
    </w:p>
    <w:p w14:paraId="3D613425">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9.我们作为竞价人保证提供不涉及第三者主张任何权利，同时与国家现行法律法规没有抵触，也不存在任何法律纠纷及诉讼。</w:t>
      </w:r>
    </w:p>
    <w:p w14:paraId="5EA2A547">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59C19E60">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399B741B">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628FB1B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68ABDD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75ADF8AE">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4E43B22">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49197215">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0D207231">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545AFD1F">
      <w:pPr>
        <w:tabs>
          <w:tab w:val="left" w:pos="900"/>
        </w:tabs>
        <w:spacing w:line="430" w:lineRule="exact"/>
        <w:rPr>
          <w:rFonts w:ascii="宋体" w:hAnsi="宋体"/>
          <w:color w:val="auto"/>
          <w:spacing w:val="-4"/>
          <w:szCs w:val="21"/>
          <w:highlight w:val="none"/>
        </w:rPr>
      </w:pPr>
      <w:r>
        <w:rPr>
          <w:rFonts w:hint="eastAsia" w:ascii="宋体" w:hAnsi="宋体"/>
          <w:color w:val="auto"/>
          <w:spacing w:val="-4"/>
          <w:szCs w:val="21"/>
          <w:highlight w:val="none"/>
          <w:lang w:val="en-US" w:eastAsia="zh-CN"/>
        </w:rPr>
        <w:t>供应商</w:t>
      </w:r>
      <w:r>
        <w:rPr>
          <w:rFonts w:hint="eastAsia" w:ascii="宋体" w:hAnsi="宋体"/>
          <w:color w:val="auto"/>
          <w:spacing w:val="-4"/>
          <w:szCs w:val="21"/>
          <w:highlight w:val="none"/>
        </w:rPr>
        <w:t>名称：</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招标编号：</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货币单位：元人民币</w:t>
      </w:r>
    </w:p>
    <w:tbl>
      <w:tblPr>
        <w:tblStyle w:val="24"/>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574"/>
        <w:gridCol w:w="1590"/>
        <w:gridCol w:w="1180"/>
        <w:gridCol w:w="1048"/>
        <w:gridCol w:w="1313"/>
        <w:gridCol w:w="1443"/>
        <w:gridCol w:w="1050"/>
        <w:gridCol w:w="1410"/>
      </w:tblGrid>
      <w:tr w14:paraId="25EC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27" w:type="dxa"/>
            <w:vAlign w:val="center"/>
          </w:tcPr>
          <w:p w14:paraId="38675AD9">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合同包</w:t>
            </w:r>
          </w:p>
        </w:tc>
        <w:tc>
          <w:tcPr>
            <w:tcW w:w="574" w:type="dxa"/>
            <w:vAlign w:val="center"/>
          </w:tcPr>
          <w:p w14:paraId="240114D4">
            <w:pPr>
              <w:tabs>
                <w:tab w:val="left" w:pos="900"/>
              </w:tabs>
              <w:spacing w:line="3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品目号</w:t>
            </w:r>
          </w:p>
        </w:tc>
        <w:tc>
          <w:tcPr>
            <w:tcW w:w="1590" w:type="dxa"/>
            <w:vAlign w:val="center"/>
          </w:tcPr>
          <w:p w14:paraId="4B9EFD1D">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资产名称</w:t>
            </w:r>
          </w:p>
        </w:tc>
        <w:tc>
          <w:tcPr>
            <w:tcW w:w="1180" w:type="dxa"/>
            <w:vAlign w:val="center"/>
          </w:tcPr>
          <w:p w14:paraId="2EB250E7">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坐落</w:t>
            </w:r>
            <w:r>
              <w:rPr>
                <w:rFonts w:hint="eastAsia" w:ascii="宋体" w:hAnsi="宋体"/>
                <w:color w:val="auto"/>
                <w:kern w:val="0"/>
                <w:szCs w:val="21"/>
                <w:highlight w:val="none"/>
              </w:rPr>
              <w:t>地址</w:t>
            </w:r>
          </w:p>
        </w:tc>
        <w:tc>
          <w:tcPr>
            <w:tcW w:w="1048" w:type="dxa"/>
            <w:vAlign w:val="center"/>
          </w:tcPr>
          <w:p w14:paraId="07659E22">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期限</w:t>
            </w:r>
          </w:p>
        </w:tc>
        <w:tc>
          <w:tcPr>
            <w:tcW w:w="1313" w:type="dxa"/>
            <w:vAlign w:val="center"/>
          </w:tcPr>
          <w:p w14:paraId="28959676">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面积</w:t>
            </w:r>
          </w:p>
        </w:tc>
        <w:tc>
          <w:tcPr>
            <w:tcW w:w="1443" w:type="dxa"/>
            <w:vAlign w:val="center"/>
          </w:tcPr>
          <w:p w14:paraId="1385A547">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年租金报价</w:t>
            </w:r>
          </w:p>
        </w:tc>
        <w:tc>
          <w:tcPr>
            <w:tcW w:w="1050" w:type="dxa"/>
            <w:vAlign w:val="center"/>
          </w:tcPr>
          <w:p w14:paraId="702D3408">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用 途</w:t>
            </w:r>
          </w:p>
        </w:tc>
        <w:tc>
          <w:tcPr>
            <w:tcW w:w="1410" w:type="dxa"/>
            <w:vAlign w:val="center"/>
          </w:tcPr>
          <w:p w14:paraId="7AD9C127">
            <w:pPr>
              <w:tabs>
                <w:tab w:val="left" w:pos="900"/>
              </w:tabs>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保证金</w:t>
            </w:r>
          </w:p>
        </w:tc>
      </w:tr>
      <w:tr w14:paraId="3845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7" w:type="dxa"/>
            <w:vAlign w:val="center"/>
          </w:tcPr>
          <w:p w14:paraId="57EFE8BE">
            <w:pPr>
              <w:tabs>
                <w:tab w:val="left" w:pos="900"/>
              </w:tabs>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574" w:type="dxa"/>
            <w:vAlign w:val="center"/>
          </w:tcPr>
          <w:p w14:paraId="058076CF">
            <w:pPr>
              <w:tabs>
                <w:tab w:val="left" w:pos="900"/>
              </w:tabs>
              <w:spacing w:line="32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w:t>
            </w:r>
          </w:p>
        </w:tc>
        <w:tc>
          <w:tcPr>
            <w:tcW w:w="1590" w:type="dxa"/>
            <w:vAlign w:val="center"/>
          </w:tcPr>
          <w:p w14:paraId="51AFB58D">
            <w:pPr>
              <w:tabs>
                <w:tab w:val="left" w:pos="900"/>
              </w:tabs>
              <w:spacing w:line="320" w:lineRule="exact"/>
              <w:jc w:val="center"/>
              <w:rPr>
                <w:rFonts w:ascii="宋体" w:hAnsi="宋体"/>
                <w:color w:val="auto"/>
                <w:kern w:val="0"/>
                <w:szCs w:val="21"/>
                <w:highlight w:val="none"/>
              </w:rPr>
            </w:pPr>
          </w:p>
        </w:tc>
        <w:tc>
          <w:tcPr>
            <w:tcW w:w="1180" w:type="dxa"/>
            <w:vAlign w:val="center"/>
          </w:tcPr>
          <w:p w14:paraId="75C8DC9B">
            <w:pPr>
              <w:tabs>
                <w:tab w:val="left" w:pos="900"/>
              </w:tabs>
              <w:spacing w:line="320" w:lineRule="exact"/>
              <w:jc w:val="center"/>
              <w:rPr>
                <w:rFonts w:ascii="宋体" w:hAnsi="宋体"/>
                <w:color w:val="auto"/>
                <w:kern w:val="0"/>
                <w:sz w:val="20"/>
                <w:szCs w:val="21"/>
                <w:highlight w:val="none"/>
              </w:rPr>
            </w:pPr>
          </w:p>
        </w:tc>
        <w:tc>
          <w:tcPr>
            <w:tcW w:w="1048" w:type="dxa"/>
            <w:vAlign w:val="center"/>
          </w:tcPr>
          <w:p w14:paraId="7F9E82EC">
            <w:pPr>
              <w:tabs>
                <w:tab w:val="left" w:pos="900"/>
              </w:tabs>
              <w:spacing w:line="320" w:lineRule="exact"/>
              <w:jc w:val="center"/>
              <w:rPr>
                <w:rFonts w:ascii="宋体" w:hAnsi="宋体"/>
                <w:color w:val="auto"/>
                <w:kern w:val="0"/>
                <w:szCs w:val="21"/>
                <w:highlight w:val="none"/>
              </w:rPr>
            </w:pPr>
          </w:p>
        </w:tc>
        <w:tc>
          <w:tcPr>
            <w:tcW w:w="1313" w:type="dxa"/>
            <w:vAlign w:val="center"/>
          </w:tcPr>
          <w:p w14:paraId="5F1E98EA">
            <w:pPr>
              <w:tabs>
                <w:tab w:val="left" w:pos="900"/>
              </w:tabs>
              <w:spacing w:line="320" w:lineRule="exact"/>
              <w:jc w:val="center"/>
              <w:rPr>
                <w:rFonts w:ascii="宋体" w:hAnsi="宋体"/>
                <w:color w:val="auto"/>
                <w:kern w:val="0"/>
                <w:szCs w:val="21"/>
                <w:highlight w:val="none"/>
              </w:rPr>
            </w:pPr>
          </w:p>
        </w:tc>
        <w:tc>
          <w:tcPr>
            <w:tcW w:w="1443" w:type="dxa"/>
            <w:vAlign w:val="center"/>
          </w:tcPr>
          <w:p w14:paraId="77F003C0">
            <w:pPr>
              <w:tabs>
                <w:tab w:val="left" w:pos="900"/>
              </w:tabs>
              <w:spacing w:line="320" w:lineRule="exact"/>
              <w:jc w:val="center"/>
              <w:rPr>
                <w:rFonts w:ascii="宋体" w:hAnsi="宋体"/>
                <w:color w:val="auto"/>
                <w:kern w:val="0"/>
                <w:szCs w:val="21"/>
                <w:highlight w:val="none"/>
              </w:rPr>
            </w:pPr>
          </w:p>
        </w:tc>
        <w:tc>
          <w:tcPr>
            <w:tcW w:w="1050" w:type="dxa"/>
            <w:vAlign w:val="center"/>
          </w:tcPr>
          <w:p w14:paraId="5538DE5A">
            <w:pPr>
              <w:tabs>
                <w:tab w:val="left" w:pos="900"/>
              </w:tabs>
              <w:spacing w:line="320" w:lineRule="exact"/>
              <w:jc w:val="center"/>
              <w:rPr>
                <w:rFonts w:ascii="宋体" w:hAnsi="宋体"/>
                <w:color w:val="auto"/>
                <w:kern w:val="0"/>
                <w:szCs w:val="21"/>
                <w:highlight w:val="none"/>
              </w:rPr>
            </w:pPr>
          </w:p>
        </w:tc>
        <w:tc>
          <w:tcPr>
            <w:tcW w:w="1410" w:type="dxa"/>
            <w:vAlign w:val="center"/>
          </w:tcPr>
          <w:p w14:paraId="60660111">
            <w:pPr>
              <w:tabs>
                <w:tab w:val="left" w:pos="900"/>
              </w:tabs>
              <w:spacing w:line="320" w:lineRule="exact"/>
              <w:jc w:val="center"/>
              <w:rPr>
                <w:rFonts w:ascii="宋体" w:hAnsi="宋体"/>
                <w:color w:val="auto"/>
                <w:kern w:val="0"/>
                <w:szCs w:val="21"/>
                <w:highlight w:val="none"/>
              </w:rPr>
            </w:pPr>
          </w:p>
        </w:tc>
      </w:tr>
      <w:tr w14:paraId="7409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27" w:type="dxa"/>
            <w:vAlign w:val="center"/>
          </w:tcPr>
          <w:p w14:paraId="130EB496">
            <w:pPr>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574" w:type="dxa"/>
            <w:vAlign w:val="center"/>
          </w:tcPr>
          <w:p w14:paraId="186F133D">
            <w:pPr>
              <w:tabs>
                <w:tab w:val="left" w:pos="900"/>
              </w:tabs>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1590" w:type="dxa"/>
            <w:vAlign w:val="center"/>
          </w:tcPr>
          <w:p w14:paraId="59CF777B">
            <w:pPr>
              <w:tabs>
                <w:tab w:val="left" w:pos="900"/>
              </w:tabs>
              <w:spacing w:line="320" w:lineRule="exact"/>
              <w:jc w:val="center"/>
              <w:rPr>
                <w:rFonts w:ascii="宋体" w:hAnsi="宋体"/>
                <w:color w:val="auto"/>
                <w:kern w:val="0"/>
                <w:szCs w:val="21"/>
                <w:highlight w:val="none"/>
              </w:rPr>
            </w:pPr>
          </w:p>
        </w:tc>
        <w:tc>
          <w:tcPr>
            <w:tcW w:w="1180" w:type="dxa"/>
            <w:vAlign w:val="center"/>
          </w:tcPr>
          <w:p w14:paraId="7ABBCA3E">
            <w:pPr>
              <w:tabs>
                <w:tab w:val="left" w:pos="900"/>
              </w:tabs>
              <w:spacing w:line="320" w:lineRule="exact"/>
              <w:jc w:val="center"/>
              <w:rPr>
                <w:rFonts w:ascii="宋体" w:hAnsi="宋体"/>
                <w:color w:val="auto"/>
                <w:kern w:val="0"/>
                <w:sz w:val="20"/>
                <w:szCs w:val="21"/>
                <w:highlight w:val="none"/>
              </w:rPr>
            </w:pPr>
          </w:p>
        </w:tc>
        <w:tc>
          <w:tcPr>
            <w:tcW w:w="1048" w:type="dxa"/>
            <w:vAlign w:val="center"/>
          </w:tcPr>
          <w:p w14:paraId="70CD72BC">
            <w:pPr>
              <w:tabs>
                <w:tab w:val="left" w:pos="900"/>
              </w:tabs>
              <w:spacing w:line="320" w:lineRule="exact"/>
              <w:jc w:val="center"/>
              <w:rPr>
                <w:rFonts w:ascii="宋体" w:hAnsi="宋体"/>
                <w:color w:val="auto"/>
                <w:kern w:val="0"/>
                <w:szCs w:val="21"/>
                <w:highlight w:val="none"/>
              </w:rPr>
            </w:pPr>
          </w:p>
        </w:tc>
        <w:tc>
          <w:tcPr>
            <w:tcW w:w="1313" w:type="dxa"/>
            <w:vAlign w:val="center"/>
          </w:tcPr>
          <w:p w14:paraId="10A1CE6A">
            <w:pPr>
              <w:tabs>
                <w:tab w:val="left" w:pos="900"/>
              </w:tabs>
              <w:spacing w:line="320" w:lineRule="exact"/>
              <w:jc w:val="center"/>
              <w:rPr>
                <w:rFonts w:ascii="宋体" w:hAnsi="宋体"/>
                <w:color w:val="auto"/>
                <w:kern w:val="0"/>
                <w:szCs w:val="21"/>
                <w:highlight w:val="none"/>
              </w:rPr>
            </w:pPr>
          </w:p>
        </w:tc>
        <w:tc>
          <w:tcPr>
            <w:tcW w:w="1443" w:type="dxa"/>
            <w:vAlign w:val="center"/>
          </w:tcPr>
          <w:p w14:paraId="462CC75E">
            <w:pPr>
              <w:tabs>
                <w:tab w:val="left" w:pos="900"/>
              </w:tabs>
              <w:spacing w:line="320" w:lineRule="exact"/>
              <w:jc w:val="center"/>
              <w:rPr>
                <w:rFonts w:ascii="宋体" w:hAnsi="宋体"/>
                <w:color w:val="auto"/>
                <w:kern w:val="0"/>
                <w:szCs w:val="21"/>
                <w:highlight w:val="none"/>
              </w:rPr>
            </w:pPr>
          </w:p>
        </w:tc>
        <w:tc>
          <w:tcPr>
            <w:tcW w:w="1050" w:type="dxa"/>
            <w:vAlign w:val="center"/>
          </w:tcPr>
          <w:p w14:paraId="1E633A41">
            <w:pPr>
              <w:tabs>
                <w:tab w:val="left" w:pos="900"/>
              </w:tabs>
              <w:spacing w:line="320" w:lineRule="exact"/>
              <w:jc w:val="center"/>
              <w:rPr>
                <w:rFonts w:ascii="宋体" w:hAnsi="宋体"/>
                <w:color w:val="auto"/>
                <w:kern w:val="0"/>
                <w:szCs w:val="21"/>
                <w:highlight w:val="none"/>
              </w:rPr>
            </w:pPr>
          </w:p>
        </w:tc>
        <w:tc>
          <w:tcPr>
            <w:tcW w:w="1410" w:type="dxa"/>
            <w:vAlign w:val="center"/>
          </w:tcPr>
          <w:p w14:paraId="23FEDA90">
            <w:pPr>
              <w:tabs>
                <w:tab w:val="left" w:pos="900"/>
              </w:tabs>
              <w:spacing w:line="320" w:lineRule="exact"/>
              <w:jc w:val="center"/>
              <w:rPr>
                <w:rFonts w:ascii="宋体" w:hAnsi="宋体"/>
                <w:color w:val="auto"/>
                <w:kern w:val="0"/>
                <w:szCs w:val="21"/>
                <w:highlight w:val="none"/>
              </w:rPr>
            </w:pPr>
          </w:p>
        </w:tc>
      </w:tr>
      <w:tr w14:paraId="4769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7" w:type="dxa"/>
            <w:vAlign w:val="center"/>
          </w:tcPr>
          <w:p w14:paraId="1E545720">
            <w:pPr>
              <w:spacing w:line="320" w:lineRule="exact"/>
              <w:jc w:val="center"/>
              <w:rPr>
                <w:rFonts w:ascii="宋体" w:hAnsi="宋体"/>
                <w:color w:val="auto"/>
                <w:kern w:val="0"/>
                <w:szCs w:val="21"/>
                <w:highlight w:val="none"/>
              </w:rPr>
            </w:pPr>
          </w:p>
        </w:tc>
        <w:tc>
          <w:tcPr>
            <w:tcW w:w="574" w:type="dxa"/>
            <w:vAlign w:val="center"/>
          </w:tcPr>
          <w:p w14:paraId="3B409F8F">
            <w:pPr>
              <w:tabs>
                <w:tab w:val="left" w:pos="900"/>
              </w:tabs>
              <w:spacing w:line="320" w:lineRule="exact"/>
              <w:jc w:val="center"/>
              <w:rPr>
                <w:rFonts w:ascii="宋体" w:hAnsi="宋体"/>
                <w:color w:val="auto"/>
                <w:kern w:val="0"/>
                <w:szCs w:val="21"/>
                <w:highlight w:val="none"/>
              </w:rPr>
            </w:pPr>
          </w:p>
        </w:tc>
        <w:tc>
          <w:tcPr>
            <w:tcW w:w="1590" w:type="dxa"/>
            <w:vAlign w:val="center"/>
          </w:tcPr>
          <w:p w14:paraId="0B7E8CC6">
            <w:pPr>
              <w:tabs>
                <w:tab w:val="left" w:pos="900"/>
              </w:tabs>
              <w:spacing w:line="320" w:lineRule="exact"/>
              <w:jc w:val="center"/>
              <w:rPr>
                <w:rFonts w:ascii="宋体" w:hAnsi="宋体"/>
                <w:color w:val="auto"/>
                <w:kern w:val="0"/>
                <w:szCs w:val="21"/>
                <w:highlight w:val="none"/>
              </w:rPr>
            </w:pPr>
          </w:p>
        </w:tc>
        <w:tc>
          <w:tcPr>
            <w:tcW w:w="1180" w:type="dxa"/>
            <w:vAlign w:val="center"/>
          </w:tcPr>
          <w:p w14:paraId="0FC852DB">
            <w:pPr>
              <w:tabs>
                <w:tab w:val="left" w:pos="900"/>
              </w:tabs>
              <w:spacing w:line="320" w:lineRule="exact"/>
              <w:jc w:val="center"/>
              <w:rPr>
                <w:rFonts w:ascii="宋体" w:hAnsi="宋体"/>
                <w:color w:val="auto"/>
                <w:kern w:val="0"/>
                <w:sz w:val="20"/>
                <w:szCs w:val="21"/>
                <w:highlight w:val="none"/>
              </w:rPr>
            </w:pPr>
          </w:p>
        </w:tc>
        <w:tc>
          <w:tcPr>
            <w:tcW w:w="1048" w:type="dxa"/>
            <w:vAlign w:val="center"/>
          </w:tcPr>
          <w:p w14:paraId="3495D769">
            <w:pPr>
              <w:tabs>
                <w:tab w:val="left" w:pos="900"/>
              </w:tabs>
              <w:spacing w:line="320" w:lineRule="exact"/>
              <w:jc w:val="center"/>
              <w:rPr>
                <w:rFonts w:ascii="宋体" w:hAnsi="宋体"/>
                <w:color w:val="auto"/>
                <w:kern w:val="0"/>
                <w:szCs w:val="21"/>
                <w:highlight w:val="none"/>
              </w:rPr>
            </w:pPr>
          </w:p>
        </w:tc>
        <w:tc>
          <w:tcPr>
            <w:tcW w:w="1313" w:type="dxa"/>
            <w:vAlign w:val="center"/>
          </w:tcPr>
          <w:p w14:paraId="04AB003F">
            <w:pPr>
              <w:tabs>
                <w:tab w:val="left" w:pos="900"/>
              </w:tabs>
              <w:spacing w:line="320" w:lineRule="exact"/>
              <w:jc w:val="center"/>
              <w:rPr>
                <w:rFonts w:ascii="宋体" w:hAnsi="宋体"/>
                <w:color w:val="auto"/>
                <w:kern w:val="0"/>
                <w:szCs w:val="21"/>
                <w:highlight w:val="none"/>
              </w:rPr>
            </w:pPr>
          </w:p>
        </w:tc>
        <w:tc>
          <w:tcPr>
            <w:tcW w:w="1443" w:type="dxa"/>
            <w:vAlign w:val="center"/>
          </w:tcPr>
          <w:p w14:paraId="4DFCB4C4">
            <w:pPr>
              <w:tabs>
                <w:tab w:val="left" w:pos="900"/>
              </w:tabs>
              <w:spacing w:line="320" w:lineRule="exact"/>
              <w:jc w:val="center"/>
              <w:rPr>
                <w:rFonts w:ascii="宋体" w:hAnsi="宋体"/>
                <w:color w:val="auto"/>
                <w:kern w:val="0"/>
                <w:szCs w:val="21"/>
                <w:highlight w:val="none"/>
              </w:rPr>
            </w:pPr>
          </w:p>
        </w:tc>
        <w:tc>
          <w:tcPr>
            <w:tcW w:w="1050" w:type="dxa"/>
            <w:vAlign w:val="center"/>
          </w:tcPr>
          <w:p w14:paraId="768921EE">
            <w:pPr>
              <w:tabs>
                <w:tab w:val="left" w:pos="900"/>
              </w:tabs>
              <w:spacing w:line="320" w:lineRule="exact"/>
              <w:jc w:val="center"/>
              <w:rPr>
                <w:rFonts w:ascii="宋体" w:hAnsi="宋体"/>
                <w:color w:val="auto"/>
                <w:kern w:val="0"/>
                <w:szCs w:val="21"/>
                <w:highlight w:val="none"/>
              </w:rPr>
            </w:pPr>
          </w:p>
        </w:tc>
        <w:tc>
          <w:tcPr>
            <w:tcW w:w="1410" w:type="dxa"/>
            <w:vAlign w:val="center"/>
          </w:tcPr>
          <w:p w14:paraId="4266991E">
            <w:pPr>
              <w:tabs>
                <w:tab w:val="left" w:pos="900"/>
              </w:tabs>
              <w:spacing w:line="320" w:lineRule="exact"/>
              <w:jc w:val="center"/>
              <w:rPr>
                <w:rFonts w:ascii="宋体" w:hAnsi="宋体"/>
                <w:color w:val="auto"/>
                <w:kern w:val="0"/>
                <w:szCs w:val="21"/>
                <w:highlight w:val="none"/>
              </w:rPr>
            </w:pPr>
          </w:p>
        </w:tc>
      </w:tr>
      <w:tr w14:paraId="26D4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7" w:type="dxa"/>
            <w:vAlign w:val="center"/>
          </w:tcPr>
          <w:p w14:paraId="1302FAE8">
            <w:pPr>
              <w:spacing w:line="320" w:lineRule="exact"/>
              <w:jc w:val="center"/>
              <w:rPr>
                <w:rFonts w:ascii="宋体" w:hAnsi="宋体"/>
                <w:color w:val="auto"/>
                <w:kern w:val="0"/>
                <w:szCs w:val="21"/>
                <w:highlight w:val="none"/>
              </w:rPr>
            </w:pPr>
          </w:p>
        </w:tc>
        <w:tc>
          <w:tcPr>
            <w:tcW w:w="574" w:type="dxa"/>
            <w:vAlign w:val="center"/>
          </w:tcPr>
          <w:p w14:paraId="60F34C42">
            <w:pPr>
              <w:tabs>
                <w:tab w:val="left" w:pos="900"/>
              </w:tabs>
              <w:spacing w:line="320" w:lineRule="exact"/>
              <w:jc w:val="center"/>
              <w:rPr>
                <w:rFonts w:ascii="宋体" w:hAnsi="宋体"/>
                <w:color w:val="auto"/>
                <w:kern w:val="0"/>
                <w:szCs w:val="21"/>
                <w:highlight w:val="none"/>
              </w:rPr>
            </w:pPr>
          </w:p>
        </w:tc>
        <w:tc>
          <w:tcPr>
            <w:tcW w:w="1590" w:type="dxa"/>
            <w:vAlign w:val="center"/>
          </w:tcPr>
          <w:p w14:paraId="4434AD85">
            <w:pPr>
              <w:tabs>
                <w:tab w:val="left" w:pos="900"/>
              </w:tabs>
              <w:spacing w:line="320" w:lineRule="exact"/>
              <w:jc w:val="center"/>
              <w:rPr>
                <w:rFonts w:ascii="宋体" w:hAnsi="宋体"/>
                <w:color w:val="auto"/>
                <w:kern w:val="0"/>
                <w:szCs w:val="21"/>
                <w:highlight w:val="none"/>
              </w:rPr>
            </w:pPr>
          </w:p>
        </w:tc>
        <w:tc>
          <w:tcPr>
            <w:tcW w:w="1180" w:type="dxa"/>
            <w:vAlign w:val="center"/>
          </w:tcPr>
          <w:p w14:paraId="696DCE75">
            <w:pPr>
              <w:tabs>
                <w:tab w:val="left" w:pos="900"/>
              </w:tabs>
              <w:spacing w:line="320" w:lineRule="exact"/>
              <w:jc w:val="center"/>
              <w:rPr>
                <w:rFonts w:ascii="宋体" w:hAnsi="宋体"/>
                <w:color w:val="auto"/>
                <w:kern w:val="0"/>
                <w:sz w:val="20"/>
                <w:szCs w:val="21"/>
                <w:highlight w:val="none"/>
              </w:rPr>
            </w:pPr>
          </w:p>
        </w:tc>
        <w:tc>
          <w:tcPr>
            <w:tcW w:w="1048" w:type="dxa"/>
            <w:vAlign w:val="center"/>
          </w:tcPr>
          <w:p w14:paraId="231C5696">
            <w:pPr>
              <w:tabs>
                <w:tab w:val="left" w:pos="900"/>
              </w:tabs>
              <w:spacing w:line="320" w:lineRule="exact"/>
              <w:jc w:val="center"/>
              <w:rPr>
                <w:rFonts w:ascii="宋体" w:hAnsi="宋体"/>
                <w:color w:val="auto"/>
                <w:kern w:val="0"/>
                <w:szCs w:val="21"/>
                <w:highlight w:val="none"/>
              </w:rPr>
            </w:pPr>
          </w:p>
        </w:tc>
        <w:tc>
          <w:tcPr>
            <w:tcW w:w="1313" w:type="dxa"/>
            <w:vAlign w:val="center"/>
          </w:tcPr>
          <w:p w14:paraId="3133D73B">
            <w:pPr>
              <w:tabs>
                <w:tab w:val="left" w:pos="900"/>
              </w:tabs>
              <w:spacing w:line="320" w:lineRule="exact"/>
              <w:jc w:val="center"/>
              <w:rPr>
                <w:rFonts w:ascii="宋体" w:hAnsi="宋体"/>
                <w:color w:val="auto"/>
                <w:kern w:val="0"/>
                <w:szCs w:val="21"/>
                <w:highlight w:val="none"/>
              </w:rPr>
            </w:pPr>
          </w:p>
        </w:tc>
        <w:tc>
          <w:tcPr>
            <w:tcW w:w="1443" w:type="dxa"/>
            <w:vAlign w:val="center"/>
          </w:tcPr>
          <w:p w14:paraId="520C356B">
            <w:pPr>
              <w:tabs>
                <w:tab w:val="left" w:pos="900"/>
              </w:tabs>
              <w:spacing w:line="320" w:lineRule="exact"/>
              <w:jc w:val="center"/>
              <w:rPr>
                <w:rFonts w:ascii="宋体" w:hAnsi="宋体"/>
                <w:color w:val="auto"/>
                <w:kern w:val="0"/>
                <w:szCs w:val="21"/>
                <w:highlight w:val="none"/>
              </w:rPr>
            </w:pPr>
          </w:p>
        </w:tc>
        <w:tc>
          <w:tcPr>
            <w:tcW w:w="1050" w:type="dxa"/>
            <w:vAlign w:val="center"/>
          </w:tcPr>
          <w:p w14:paraId="146D1A01">
            <w:pPr>
              <w:tabs>
                <w:tab w:val="left" w:pos="900"/>
              </w:tabs>
              <w:spacing w:line="320" w:lineRule="exact"/>
              <w:jc w:val="center"/>
              <w:rPr>
                <w:rFonts w:ascii="宋体" w:hAnsi="宋体"/>
                <w:color w:val="auto"/>
                <w:kern w:val="0"/>
                <w:szCs w:val="21"/>
                <w:highlight w:val="none"/>
              </w:rPr>
            </w:pPr>
          </w:p>
        </w:tc>
        <w:tc>
          <w:tcPr>
            <w:tcW w:w="1410" w:type="dxa"/>
            <w:vAlign w:val="center"/>
          </w:tcPr>
          <w:p w14:paraId="57613448">
            <w:pPr>
              <w:tabs>
                <w:tab w:val="left" w:pos="900"/>
              </w:tabs>
              <w:spacing w:line="320" w:lineRule="exact"/>
              <w:jc w:val="center"/>
              <w:rPr>
                <w:rFonts w:ascii="宋体" w:hAnsi="宋体"/>
                <w:color w:val="auto"/>
                <w:kern w:val="0"/>
                <w:szCs w:val="21"/>
                <w:highlight w:val="none"/>
              </w:rPr>
            </w:pPr>
          </w:p>
        </w:tc>
      </w:tr>
      <w:tr w14:paraId="69DF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7" w:type="dxa"/>
            <w:vAlign w:val="center"/>
          </w:tcPr>
          <w:p w14:paraId="012C82A1">
            <w:pPr>
              <w:tabs>
                <w:tab w:val="left" w:pos="900"/>
              </w:tabs>
              <w:spacing w:line="320" w:lineRule="exact"/>
              <w:jc w:val="center"/>
              <w:rPr>
                <w:rFonts w:ascii="宋体" w:hAnsi="宋体"/>
                <w:color w:val="auto"/>
                <w:kern w:val="0"/>
                <w:szCs w:val="21"/>
                <w:highlight w:val="none"/>
              </w:rPr>
            </w:pPr>
          </w:p>
        </w:tc>
        <w:tc>
          <w:tcPr>
            <w:tcW w:w="574" w:type="dxa"/>
            <w:vAlign w:val="center"/>
          </w:tcPr>
          <w:p w14:paraId="0EF8F503">
            <w:pPr>
              <w:tabs>
                <w:tab w:val="left" w:pos="900"/>
              </w:tabs>
              <w:spacing w:line="320" w:lineRule="exact"/>
              <w:jc w:val="center"/>
              <w:rPr>
                <w:rFonts w:ascii="宋体" w:hAnsi="宋体"/>
                <w:color w:val="auto"/>
                <w:kern w:val="0"/>
                <w:szCs w:val="21"/>
                <w:highlight w:val="none"/>
              </w:rPr>
            </w:pPr>
          </w:p>
        </w:tc>
        <w:tc>
          <w:tcPr>
            <w:tcW w:w="1590" w:type="dxa"/>
            <w:vAlign w:val="center"/>
          </w:tcPr>
          <w:p w14:paraId="26FFC954">
            <w:pPr>
              <w:tabs>
                <w:tab w:val="left" w:pos="900"/>
              </w:tabs>
              <w:spacing w:line="320" w:lineRule="exact"/>
              <w:jc w:val="center"/>
              <w:rPr>
                <w:rFonts w:ascii="宋体" w:hAnsi="宋体"/>
                <w:color w:val="auto"/>
                <w:kern w:val="0"/>
                <w:szCs w:val="21"/>
                <w:highlight w:val="none"/>
              </w:rPr>
            </w:pPr>
          </w:p>
        </w:tc>
        <w:tc>
          <w:tcPr>
            <w:tcW w:w="1180" w:type="dxa"/>
            <w:vAlign w:val="center"/>
          </w:tcPr>
          <w:p w14:paraId="66AEC5F5">
            <w:pPr>
              <w:tabs>
                <w:tab w:val="left" w:pos="900"/>
              </w:tabs>
              <w:spacing w:line="320" w:lineRule="exact"/>
              <w:jc w:val="center"/>
              <w:rPr>
                <w:rFonts w:ascii="宋体" w:hAnsi="宋体"/>
                <w:color w:val="auto"/>
                <w:kern w:val="0"/>
                <w:sz w:val="20"/>
                <w:szCs w:val="21"/>
                <w:highlight w:val="none"/>
              </w:rPr>
            </w:pPr>
          </w:p>
        </w:tc>
        <w:tc>
          <w:tcPr>
            <w:tcW w:w="1048" w:type="dxa"/>
            <w:vAlign w:val="center"/>
          </w:tcPr>
          <w:p w14:paraId="5162E535">
            <w:pPr>
              <w:tabs>
                <w:tab w:val="left" w:pos="900"/>
              </w:tabs>
              <w:spacing w:line="320" w:lineRule="exact"/>
              <w:jc w:val="center"/>
              <w:rPr>
                <w:rFonts w:ascii="宋体" w:hAnsi="宋体"/>
                <w:color w:val="auto"/>
                <w:kern w:val="0"/>
                <w:szCs w:val="21"/>
                <w:highlight w:val="none"/>
              </w:rPr>
            </w:pPr>
          </w:p>
        </w:tc>
        <w:tc>
          <w:tcPr>
            <w:tcW w:w="1313" w:type="dxa"/>
            <w:vAlign w:val="center"/>
          </w:tcPr>
          <w:p w14:paraId="7721ED75">
            <w:pPr>
              <w:tabs>
                <w:tab w:val="left" w:pos="900"/>
              </w:tabs>
              <w:spacing w:line="320" w:lineRule="exact"/>
              <w:jc w:val="center"/>
              <w:rPr>
                <w:rFonts w:ascii="宋体" w:hAnsi="宋体"/>
                <w:color w:val="auto"/>
                <w:kern w:val="0"/>
                <w:szCs w:val="21"/>
                <w:highlight w:val="none"/>
              </w:rPr>
            </w:pPr>
          </w:p>
        </w:tc>
        <w:tc>
          <w:tcPr>
            <w:tcW w:w="1443" w:type="dxa"/>
            <w:vAlign w:val="center"/>
          </w:tcPr>
          <w:p w14:paraId="5B008B40">
            <w:pPr>
              <w:tabs>
                <w:tab w:val="left" w:pos="900"/>
              </w:tabs>
              <w:spacing w:line="320" w:lineRule="exact"/>
              <w:jc w:val="center"/>
              <w:rPr>
                <w:rFonts w:ascii="宋体" w:hAnsi="宋体"/>
                <w:color w:val="auto"/>
                <w:kern w:val="0"/>
                <w:szCs w:val="21"/>
                <w:highlight w:val="none"/>
              </w:rPr>
            </w:pPr>
          </w:p>
        </w:tc>
        <w:tc>
          <w:tcPr>
            <w:tcW w:w="1050" w:type="dxa"/>
            <w:vAlign w:val="center"/>
          </w:tcPr>
          <w:p w14:paraId="22356B76">
            <w:pPr>
              <w:tabs>
                <w:tab w:val="left" w:pos="900"/>
              </w:tabs>
              <w:spacing w:line="320" w:lineRule="exact"/>
              <w:jc w:val="center"/>
              <w:rPr>
                <w:rFonts w:ascii="宋体" w:hAnsi="宋体"/>
                <w:color w:val="auto"/>
                <w:kern w:val="0"/>
                <w:szCs w:val="21"/>
                <w:highlight w:val="none"/>
              </w:rPr>
            </w:pPr>
          </w:p>
        </w:tc>
        <w:tc>
          <w:tcPr>
            <w:tcW w:w="1410" w:type="dxa"/>
            <w:vAlign w:val="center"/>
          </w:tcPr>
          <w:p w14:paraId="4A129277">
            <w:pPr>
              <w:tabs>
                <w:tab w:val="left" w:pos="900"/>
              </w:tabs>
              <w:spacing w:line="320" w:lineRule="exact"/>
              <w:jc w:val="center"/>
              <w:rPr>
                <w:rFonts w:ascii="宋体" w:hAnsi="宋体"/>
                <w:color w:val="auto"/>
                <w:kern w:val="0"/>
                <w:szCs w:val="21"/>
                <w:highlight w:val="none"/>
              </w:rPr>
            </w:pPr>
          </w:p>
        </w:tc>
      </w:tr>
      <w:tr w14:paraId="1683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235" w:type="dxa"/>
            <w:gridSpan w:val="9"/>
            <w:vAlign w:val="center"/>
          </w:tcPr>
          <w:p w14:paraId="59CAA7BC">
            <w:pPr>
              <w:tabs>
                <w:tab w:val="left" w:pos="900"/>
              </w:tabs>
              <w:spacing w:line="320" w:lineRule="exact"/>
              <w:jc w:val="left"/>
              <w:rPr>
                <w:rFonts w:ascii="宋体" w:hAnsi="宋体"/>
                <w:color w:val="auto"/>
                <w:kern w:val="0"/>
                <w:szCs w:val="21"/>
                <w:highlight w:val="none"/>
              </w:rPr>
            </w:pPr>
            <w:r>
              <w:rPr>
                <w:rFonts w:hint="eastAsia" w:ascii="宋体" w:hAnsi="宋体"/>
                <w:color w:val="auto"/>
                <w:kern w:val="0"/>
                <w:szCs w:val="21"/>
                <w:highlight w:val="none"/>
              </w:rPr>
              <w:t>合同包1年租金报价：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r>
              <w:rPr>
                <w:rFonts w:hint="eastAsia" w:ascii="宋体" w:hAnsi="宋体"/>
                <w:color w:val="auto"/>
                <w:kern w:val="0"/>
                <w:szCs w:val="21"/>
                <w:highlight w:val="none"/>
                <w:lang w:val="en-US" w:eastAsia="zh-CN"/>
              </w:rPr>
              <w:t>/年</w:t>
            </w:r>
            <w:r>
              <w:rPr>
                <w:rFonts w:hint="eastAsia" w:ascii="宋体" w:hAnsi="宋体"/>
                <w:color w:val="auto"/>
                <w:kern w:val="0"/>
                <w:szCs w:val="21"/>
                <w:highlight w:val="none"/>
              </w:rPr>
              <w:t>（大写：                     ）</w:t>
            </w:r>
          </w:p>
        </w:tc>
      </w:tr>
      <w:tr w14:paraId="31C2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5" w:type="dxa"/>
            <w:gridSpan w:val="9"/>
            <w:vAlign w:val="center"/>
          </w:tcPr>
          <w:p w14:paraId="4032C778">
            <w:pPr>
              <w:tabs>
                <w:tab w:val="left" w:pos="900"/>
              </w:tabs>
              <w:spacing w:line="320" w:lineRule="exact"/>
              <w:jc w:val="left"/>
              <w:rPr>
                <w:rFonts w:ascii="宋体" w:hAnsi="宋体"/>
                <w:color w:val="auto"/>
                <w:kern w:val="0"/>
                <w:szCs w:val="21"/>
                <w:highlight w:val="none"/>
              </w:rPr>
            </w:pPr>
            <w:r>
              <w:rPr>
                <w:rFonts w:hint="eastAsia" w:ascii="宋体" w:hAnsi="宋体"/>
                <w:color w:val="auto"/>
                <w:kern w:val="0"/>
                <w:szCs w:val="21"/>
                <w:highlight w:val="none"/>
              </w:rPr>
              <w:t>合同包1</w:t>
            </w:r>
            <w:r>
              <w:rPr>
                <w:rFonts w:hint="eastAsia" w:ascii="宋体" w:hAnsi="宋体"/>
                <w:color w:val="auto"/>
                <w:kern w:val="0"/>
                <w:szCs w:val="21"/>
                <w:highlight w:val="none"/>
                <w:lang w:val="en-US" w:eastAsia="zh-CN"/>
              </w:rPr>
              <w:t>五</w:t>
            </w:r>
            <w:r>
              <w:rPr>
                <w:rFonts w:hint="eastAsia" w:ascii="宋体" w:hAnsi="宋体"/>
                <w:color w:val="auto"/>
                <w:kern w:val="0"/>
                <w:szCs w:val="21"/>
                <w:highlight w:val="none"/>
              </w:rPr>
              <w:t>年总租金报价：人民币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元（大写：                 ）</w:t>
            </w:r>
          </w:p>
        </w:tc>
      </w:tr>
    </w:tbl>
    <w:p w14:paraId="4FE5AAE8">
      <w:pPr>
        <w:rPr>
          <w:rFonts w:ascii="宋体" w:hAnsi="宋体"/>
          <w:b/>
          <w:color w:val="auto"/>
          <w:sz w:val="24"/>
          <w:szCs w:val="24"/>
          <w:highlight w:val="none"/>
          <w:u w:val="single"/>
        </w:rPr>
      </w:pPr>
    </w:p>
    <w:p w14:paraId="348760CD">
      <w:pPr>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hint="eastAsia" w:ascii="宋体" w:hAnsi="宋体"/>
          <w:b/>
          <w:color w:val="auto"/>
          <w:sz w:val="24"/>
          <w:szCs w:val="24"/>
          <w:highlight w:val="none"/>
          <w:u w:val="single"/>
          <w:lang w:val="en-US" w:eastAsia="zh-CN"/>
        </w:rPr>
        <w:t>竞价</w:t>
      </w:r>
      <w:r>
        <w:rPr>
          <w:rFonts w:hint="eastAsia" w:ascii="宋体" w:hAnsi="宋体"/>
          <w:b/>
          <w:color w:val="auto"/>
          <w:sz w:val="24"/>
          <w:szCs w:val="24"/>
          <w:highlight w:val="none"/>
          <w:u w:val="single"/>
        </w:rPr>
        <w:t>报价以“元”为单位，进行年租金报价，不得低于</w:t>
      </w:r>
      <w:r>
        <w:rPr>
          <w:rFonts w:hint="eastAsia" w:ascii="宋体" w:hAnsi="宋体"/>
          <w:b/>
          <w:color w:val="auto"/>
          <w:sz w:val="24"/>
          <w:szCs w:val="24"/>
          <w:highlight w:val="none"/>
          <w:u w:val="single"/>
          <w:lang w:val="en-US" w:eastAsia="zh-CN"/>
        </w:rPr>
        <w:t>竞价</w:t>
      </w:r>
      <w:r>
        <w:rPr>
          <w:rFonts w:hint="eastAsia" w:ascii="宋体" w:hAnsi="宋体"/>
          <w:b/>
          <w:color w:val="auto"/>
          <w:sz w:val="24"/>
          <w:szCs w:val="24"/>
          <w:highlight w:val="none"/>
          <w:u w:val="single"/>
        </w:rPr>
        <w:t>文件设定的年最低限价，若</w:t>
      </w:r>
      <w:r>
        <w:rPr>
          <w:rFonts w:hint="eastAsia" w:ascii="宋体" w:hAnsi="宋体"/>
          <w:b/>
          <w:color w:val="auto"/>
          <w:sz w:val="24"/>
          <w:szCs w:val="24"/>
          <w:highlight w:val="none"/>
          <w:u w:val="single"/>
          <w:lang w:val="en-US" w:eastAsia="zh-CN"/>
        </w:rPr>
        <w:t>竞价</w:t>
      </w:r>
      <w:r>
        <w:rPr>
          <w:rFonts w:hint="eastAsia" w:ascii="宋体" w:hAnsi="宋体"/>
          <w:b/>
          <w:color w:val="auto"/>
          <w:sz w:val="24"/>
          <w:szCs w:val="24"/>
          <w:highlight w:val="none"/>
          <w:u w:val="single"/>
        </w:rPr>
        <w:t>报价在年最低限价基础上有增长的，须以“</w:t>
      </w:r>
      <w:r>
        <w:rPr>
          <w:rFonts w:hint="eastAsia" w:ascii="宋体" w:hAnsi="宋体"/>
          <w:b/>
          <w:color w:val="auto"/>
          <w:sz w:val="24"/>
          <w:szCs w:val="24"/>
          <w:highlight w:val="none"/>
          <w:u w:val="single"/>
          <w:lang w:eastAsia="zh-CN"/>
        </w:rPr>
        <w:t>壹仟</w:t>
      </w:r>
      <w:r>
        <w:rPr>
          <w:rFonts w:hint="eastAsia" w:ascii="宋体" w:hAnsi="宋体"/>
          <w:b/>
          <w:color w:val="auto"/>
          <w:sz w:val="24"/>
          <w:szCs w:val="24"/>
          <w:highlight w:val="none"/>
          <w:u w:val="single"/>
        </w:rPr>
        <w:t>元”或“</w:t>
      </w:r>
      <w:r>
        <w:rPr>
          <w:rFonts w:hint="eastAsia" w:ascii="宋体" w:hAnsi="宋体"/>
          <w:b/>
          <w:color w:val="auto"/>
          <w:sz w:val="24"/>
          <w:szCs w:val="24"/>
          <w:highlight w:val="none"/>
          <w:u w:val="single"/>
          <w:lang w:eastAsia="zh-CN"/>
        </w:rPr>
        <w:t>壹仟</w:t>
      </w:r>
      <w:r>
        <w:rPr>
          <w:rFonts w:hint="eastAsia" w:ascii="宋体" w:hAnsi="宋体"/>
          <w:b/>
          <w:color w:val="auto"/>
          <w:sz w:val="24"/>
          <w:szCs w:val="24"/>
          <w:highlight w:val="none"/>
          <w:u w:val="single"/>
        </w:rPr>
        <w:t>元的倍数”增加，不得体现“角</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分”，否则按无效</w:t>
      </w:r>
      <w:r>
        <w:rPr>
          <w:rFonts w:hint="eastAsia" w:ascii="宋体" w:hAnsi="宋体"/>
          <w:b/>
          <w:color w:val="auto"/>
          <w:sz w:val="24"/>
          <w:szCs w:val="24"/>
          <w:highlight w:val="none"/>
          <w:u w:val="single"/>
          <w:lang w:val="en-US" w:eastAsia="zh-CN"/>
        </w:rPr>
        <w:t>报价</w:t>
      </w:r>
      <w:r>
        <w:rPr>
          <w:rFonts w:hint="eastAsia" w:ascii="宋体" w:hAnsi="宋体"/>
          <w:b/>
          <w:color w:val="auto"/>
          <w:sz w:val="24"/>
          <w:szCs w:val="24"/>
          <w:highlight w:val="none"/>
          <w:u w:val="single"/>
        </w:rPr>
        <w:t>处理。</w:t>
      </w:r>
    </w:p>
    <w:p w14:paraId="4885D1B6">
      <w:pPr>
        <w:ind w:firstLine="482" w:firstLineChars="200"/>
        <w:rPr>
          <w:rFonts w:hint="eastAsia" w:ascii="宋体" w:hAnsi="宋体" w:eastAsia="宋体"/>
          <w:b/>
          <w:color w:val="auto"/>
          <w:sz w:val="24"/>
          <w:szCs w:val="24"/>
          <w:highlight w:val="none"/>
          <w:u w:val="single"/>
          <w:lang w:eastAsia="zh-CN"/>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各竞价人须注意报五年总租金时，</w:t>
      </w:r>
      <w:r>
        <w:rPr>
          <w:rFonts w:hint="eastAsia" w:ascii="宋体" w:hAnsi="宋体"/>
          <w:b/>
          <w:color w:val="auto"/>
          <w:sz w:val="24"/>
          <w:szCs w:val="24"/>
          <w:highlight w:val="none"/>
          <w:u w:val="single"/>
          <w:lang w:eastAsia="zh-CN"/>
        </w:rPr>
        <w:t>第四、第五年在第三年租金基础上增加5%。</w:t>
      </w:r>
    </w:p>
    <w:p w14:paraId="0DF5307C">
      <w:pPr>
        <w:rPr>
          <w:rFonts w:ascii="宋体" w:hAnsi="宋体"/>
          <w:b/>
          <w:color w:val="auto"/>
          <w:sz w:val="24"/>
          <w:szCs w:val="24"/>
          <w:highlight w:val="none"/>
          <w:u w:val="singl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6C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26BD018">
            <w:pPr>
              <w:ind w:left="4410" w:leftChars="2100"/>
              <w:jc w:val="center"/>
              <w:rPr>
                <w:rFonts w:ascii="宋体" w:hAnsi="宋体"/>
                <w:b/>
                <w:color w:val="auto"/>
                <w:sz w:val="36"/>
                <w:szCs w:val="36"/>
                <w:highlight w:val="none"/>
              </w:rPr>
            </w:pPr>
          </w:p>
          <w:p w14:paraId="0C23FF22">
            <w:pPr>
              <w:ind w:left="4410" w:leftChars="2100"/>
              <w:jc w:val="center"/>
              <w:rPr>
                <w:rFonts w:ascii="宋体" w:hAnsi="宋体"/>
                <w:b/>
                <w:color w:val="auto"/>
                <w:sz w:val="36"/>
                <w:szCs w:val="36"/>
                <w:highlight w:val="none"/>
              </w:rPr>
            </w:pPr>
          </w:p>
          <w:p w14:paraId="0D6B6C14">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55FAC3B2">
            <w:pPr>
              <w:ind w:left="4410" w:leftChars="2100"/>
              <w:jc w:val="center"/>
              <w:rPr>
                <w:rFonts w:ascii="宋体" w:hAnsi="宋体"/>
                <w:b/>
                <w:color w:val="auto"/>
                <w:sz w:val="36"/>
                <w:szCs w:val="36"/>
                <w:highlight w:val="none"/>
              </w:rPr>
            </w:pPr>
          </w:p>
        </w:tc>
      </w:tr>
    </w:tbl>
    <w:p w14:paraId="29C5E84C">
      <w:pPr>
        <w:spacing w:line="360" w:lineRule="auto"/>
        <w:ind w:left="-718" w:leftChars="-342" w:right="-874" w:rightChars="-416" w:firstLine="357" w:firstLineChars="170"/>
        <w:rPr>
          <w:rFonts w:ascii="宋体" w:hAnsi="宋体" w:cs="Arial"/>
          <w:color w:val="auto"/>
          <w:szCs w:val="21"/>
          <w:highlight w:val="none"/>
        </w:rPr>
      </w:pPr>
    </w:p>
    <w:p w14:paraId="44C48A15">
      <w:pPr>
        <w:rPr>
          <w:rFonts w:ascii="宋体" w:hAnsi="宋体"/>
          <w:b/>
          <w:color w:val="auto"/>
          <w:sz w:val="24"/>
          <w:szCs w:val="24"/>
          <w:highlight w:val="none"/>
        </w:rPr>
      </w:pPr>
    </w:p>
    <w:p w14:paraId="0330C35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31EAF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08BCD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D6F180A">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64EC3C7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竞价内容及</w:t>
      </w:r>
      <w:r>
        <w:rPr>
          <w:rFonts w:ascii="宋体" w:hAnsi="宋体"/>
          <w:b/>
          <w:color w:val="auto"/>
          <w:sz w:val="28"/>
          <w:szCs w:val="28"/>
          <w:highlight w:val="none"/>
        </w:rPr>
        <w:t>要求响应表</w:t>
      </w:r>
    </w:p>
    <w:p w14:paraId="2BC59F8E">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51FE75FF">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3"/>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49DC24A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698D2FC">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AED89D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F2366C6">
            <w:pPr>
              <w:widowControl/>
              <w:spacing w:line="185"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竞价内容及</w:t>
            </w:r>
            <w:r>
              <w:rPr>
                <w:rFonts w:ascii="宋体" w:hAnsi="宋体" w:cs="宋体"/>
                <w:color w:val="auto"/>
                <w:kern w:val="0"/>
                <w:sz w:val="24"/>
                <w:szCs w:val="24"/>
                <w:highlight w:val="none"/>
              </w:rPr>
              <w:t>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A5FA3A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8FCD3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5F7A41E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91FB30B">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986544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9FF2874">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7F9E06B">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19703AF">
            <w:pPr>
              <w:widowControl/>
              <w:jc w:val="left"/>
              <w:rPr>
                <w:rFonts w:ascii="宋体" w:hAnsi="宋体" w:cs="宋体"/>
                <w:color w:val="auto"/>
                <w:kern w:val="0"/>
                <w:sz w:val="24"/>
                <w:szCs w:val="24"/>
                <w:highlight w:val="none"/>
              </w:rPr>
            </w:pPr>
          </w:p>
        </w:tc>
      </w:tr>
      <w:tr w14:paraId="0C01A7B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100F7BBE">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26110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7C5FFA9">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7998173">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9689FF5">
            <w:pPr>
              <w:widowControl/>
              <w:jc w:val="left"/>
              <w:rPr>
                <w:rFonts w:ascii="宋体" w:hAnsi="宋体" w:cs="宋体"/>
                <w:color w:val="auto"/>
                <w:kern w:val="0"/>
                <w:sz w:val="24"/>
                <w:szCs w:val="24"/>
                <w:highlight w:val="none"/>
              </w:rPr>
            </w:pPr>
          </w:p>
        </w:tc>
      </w:tr>
      <w:tr w14:paraId="7FAAF9D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1403EFC">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19A0AA">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48002E2">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E86687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589B082">
            <w:pPr>
              <w:widowControl/>
              <w:jc w:val="left"/>
              <w:rPr>
                <w:rFonts w:ascii="宋体" w:hAnsi="宋体" w:cs="宋体"/>
                <w:color w:val="auto"/>
                <w:kern w:val="0"/>
                <w:sz w:val="24"/>
                <w:szCs w:val="24"/>
                <w:highlight w:val="none"/>
              </w:rPr>
            </w:pPr>
          </w:p>
        </w:tc>
      </w:tr>
    </w:tbl>
    <w:p w14:paraId="0444A9B1">
      <w:pPr>
        <w:rPr>
          <w:rFonts w:ascii="宋体" w:hAnsi="宋体" w:cs="宋体"/>
          <w:b/>
          <w:color w:val="auto"/>
          <w:kern w:val="0"/>
          <w:sz w:val="24"/>
          <w:szCs w:val="24"/>
          <w:highlight w:val="none"/>
        </w:rPr>
      </w:pPr>
    </w:p>
    <w:p w14:paraId="7333748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468543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08BE0C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竞价内容及</w:t>
      </w:r>
      <w:r>
        <w:rPr>
          <w:rFonts w:hint="eastAsia" w:ascii="宋体" w:hAnsi="宋体" w:cs="宋体"/>
          <w:color w:val="auto"/>
          <w:kern w:val="0"/>
          <w:highlight w:val="none"/>
        </w:rPr>
        <w:t>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宋体" w:hAnsi="宋体" w:cs="宋体"/>
          <w:color w:val="auto"/>
          <w:kern w:val="0"/>
          <w:highlight w:val="none"/>
          <w:lang w:val="en-US" w:eastAsia="zh-CN"/>
        </w:rPr>
        <w:t>竞价内容及</w:t>
      </w:r>
      <w:r>
        <w:rPr>
          <w:rFonts w:hint="eastAsia" w:ascii="宋体" w:hAnsi="宋体" w:cs="宋体"/>
          <w:color w:val="auto"/>
          <w:kern w:val="0"/>
          <w:highlight w:val="none"/>
        </w:rPr>
        <w:t>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FFC333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lang w:val="en-US" w:eastAsia="zh-CN"/>
        </w:rPr>
        <w:t>竞价内容及</w:t>
      </w:r>
      <w:r>
        <w:rPr>
          <w:rFonts w:hint="eastAsia" w:ascii="宋体" w:hAnsi="宋体" w:cs="宋体"/>
          <w:color w:val="auto"/>
          <w:kern w:val="0"/>
          <w:highlight w:val="none"/>
        </w:rPr>
        <w:t>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lang w:val="en-US" w:eastAsia="zh-CN"/>
        </w:rPr>
        <w:t>竞价内容及</w:t>
      </w:r>
      <w:r>
        <w:rPr>
          <w:rFonts w:hint="eastAsia" w:ascii="宋体" w:hAnsi="宋体" w:cs="宋体"/>
          <w:color w:val="auto"/>
          <w:kern w:val="0"/>
          <w:highlight w:val="none"/>
        </w:rPr>
        <w:t>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hAnsi="宋体" w:cs="宋体"/>
          <w:color w:val="auto"/>
          <w:kern w:val="0"/>
          <w:highlight w:val="none"/>
          <w:lang w:eastAsia="zh-CN"/>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EFC30EF">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382BAA98">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C1CD69B">
      <w:pPr>
        <w:widowControl/>
        <w:shd w:val="clear" w:color="auto" w:fill="FFFFFF"/>
        <w:spacing w:line="440" w:lineRule="exact"/>
        <w:rPr>
          <w:rFonts w:ascii="宋体" w:hAnsi="宋体"/>
          <w:color w:val="auto"/>
          <w:sz w:val="24"/>
          <w:szCs w:val="24"/>
          <w:highlight w:val="none"/>
        </w:rPr>
      </w:pPr>
    </w:p>
    <w:p w14:paraId="375A07EA">
      <w:pPr>
        <w:widowControl/>
        <w:shd w:val="clear" w:color="auto" w:fill="FFFFFF"/>
        <w:spacing w:line="440" w:lineRule="exact"/>
        <w:rPr>
          <w:rFonts w:ascii="宋体" w:hAnsi="宋体"/>
          <w:color w:val="auto"/>
          <w:sz w:val="24"/>
          <w:szCs w:val="24"/>
          <w:highlight w:val="none"/>
        </w:rPr>
      </w:pPr>
    </w:p>
    <w:p w14:paraId="5DAC67E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442EA104">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1481C70C">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EE61398">
      <w:pPr>
        <w:rPr>
          <w:rFonts w:ascii="宋体" w:hAnsi="宋体" w:cs="宋体"/>
          <w:b/>
          <w:color w:val="auto"/>
          <w:kern w:val="0"/>
          <w:sz w:val="24"/>
          <w:highlight w:val="none"/>
        </w:rPr>
      </w:pPr>
    </w:p>
    <w:p w14:paraId="3035C38E">
      <w:pPr>
        <w:rPr>
          <w:rFonts w:ascii="宋体" w:hAnsi="宋体" w:cs="宋体"/>
          <w:b/>
          <w:color w:val="auto"/>
          <w:kern w:val="0"/>
          <w:sz w:val="24"/>
          <w:highlight w:val="none"/>
        </w:rPr>
      </w:pPr>
    </w:p>
    <w:p w14:paraId="62706932">
      <w:pPr>
        <w:rPr>
          <w:rFonts w:ascii="宋体" w:hAnsi="宋体" w:cs="宋体"/>
          <w:b/>
          <w:color w:val="auto"/>
          <w:kern w:val="0"/>
          <w:sz w:val="24"/>
          <w:highlight w:val="none"/>
        </w:rPr>
      </w:pPr>
      <w:r>
        <w:rPr>
          <w:rFonts w:ascii="宋体" w:hAnsi="宋体"/>
          <w:b/>
          <w:color w:val="auto"/>
          <w:sz w:val="24"/>
          <w:szCs w:val="24"/>
          <w:highlight w:val="none"/>
        </w:rPr>
        <w:br w:type="page"/>
      </w:r>
    </w:p>
    <w:p w14:paraId="5D19B7AD">
      <w:pPr>
        <w:jc w:val="left"/>
        <w:rPr>
          <w:rFonts w:ascii="宋体" w:hAnsi="宋体"/>
          <w:b/>
          <w:color w:val="auto"/>
          <w:sz w:val="24"/>
          <w:szCs w:val="24"/>
          <w:highlight w:val="none"/>
        </w:rPr>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w:t>
      </w:r>
    </w:p>
    <w:p w14:paraId="7881B600">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08F1D922">
      <w:pPr>
        <w:jc w:val="center"/>
        <w:rPr>
          <w:rFonts w:ascii="宋体" w:hAnsi="宋体"/>
          <w:b/>
          <w:color w:val="auto"/>
          <w:sz w:val="28"/>
          <w:szCs w:val="28"/>
          <w:highlight w:val="none"/>
        </w:rPr>
      </w:pPr>
    </w:p>
    <w:p w14:paraId="74046F25">
      <w:pPr>
        <w:jc w:val="center"/>
        <w:rPr>
          <w:rFonts w:ascii="宋体" w:hAnsi="宋体"/>
          <w:b/>
          <w:color w:val="auto"/>
          <w:sz w:val="28"/>
          <w:szCs w:val="28"/>
          <w:highlight w:val="none"/>
        </w:rPr>
      </w:pPr>
    </w:p>
    <w:p w14:paraId="03D8F6A7">
      <w:pPr>
        <w:jc w:val="center"/>
        <w:rPr>
          <w:rFonts w:ascii="宋体" w:hAnsi="宋体"/>
          <w:b/>
          <w:color w:val="auto"/>
          <w:sz w:val="28"/>
          <w:szCs w:val="28"/>
          <w:highlight w:val="none"/>
        </w:rPr>
      </w:pPr>
    </w:p>
    <w:p w14:paraId="387C9C55">
      <w:pPr>
        <w:jc w:val="center"/>
        <w:rPr>
          <w:rFonts w:ascii="宋体" w:hAnsi="宋体"/>
          <w:b/>
          <w:color w:val="auto"/>
          <w:sz w:val="28"/>
          <w:szCs w:val="28"/>
          <w:highlight w:val="none"/>
        </w:rPr>
      </w:pPr>
    </w:p>
    <w:p w14:paraId="272C275D">
      <w:pPr>
        <w:jc w:val="center"/>
        <w:rPr>
          <w:rFonts w:ascii="宋体" w:hAnsi="宋体"/>
          <w:b/>
          <w:color w:val="auto"/>
          <w:sz w:val="28"/>
          <w:szCs w:val="28"/>
          <w:highlight w:val="none"/>
        </w:rPr>
      </w:pPr>
    </w:p>
    <w:p w14:paraId="76A7FA8F">
      <w:pPr>
        <w:jc w:val="center"/>
        <w:rPr>
          <w:rFonts w:ascii="宋体" w:hAnsi="宋体"/>
          <w:b/>
          <w:color w:val="auto"/>
          <w:sz w:val="28"/>
          <w:szCs w:val="28"/>
          <w:highlight w:val="none"/>
        </w:rPr>
      </w:pPr>
    </w:p>
    <w:p w14:paraId="0722FACF">
      <w:pPr>
        <w:pStyle w:val="21"/>
        <w:rPr>
          <w:rFonts w:ascii="宋体" w:hAnsi="宋体"/>
          <w:color w:val="auto"/>
          <w:highlight w:val="none"/>
        </w:rPr>
      </w:pPr>
    </w:p>
    <w:p w14:paraId="1BACEABE">
      <w:pPr>
        <w:jc w:val="center"/>
        <w:rPr>
          <w:rFonts w:ascii="宋体" w:hAnsi="宋体"/>
          <w:b/>
          <w:color w:val="auto"/>
          <w:sz w:val="28"/>
          <w:szCs w:val="28"/>
          <w:highlight w:val="none"/>
        </w:rPr>
      </w:pPr>
    </w:p>
    <w:p w14:paraId="5FD7611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1D01CD1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7ED2C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598390C">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w:t>
      </w:r>
      <w:r>
        <w:rPr>
          <w:rFonts w:hint="eastAsia" w:ascii="宋体" w:hAnsi="宋体" w:cs="宋体"/>
          <w:b/>
          <w:color w:val="auto"/>
          <w:kern w:val="0"/>
          <w:sz w:val="24"/>
          <w:highlight w:val="none"/>
          <w:lang w:val="en-US" w:eastAsia="zh-CN"/>
        </w:rPr>
        <w:t>13</w:t>
      </w:r>
      <w:r>
        <w:rPr>
          <w:rFonts w:hint="eastAsia" w:ascii="宋体" w:hAnsi="宋体" w:cs="宋体"/>
          <w:b/>
          <w:color w:val="auto"/>
          <w:kern w:val="0"/>
          <w:sz w:val="24"/>
          <w:highlight w:val="none"/>
        </w:rPr>
        <w:t>：</w:t>
      </w:r>
    </w:p>
    <w:p w14:paraId="2AB3AB7C">
      <w:pPr>
        <w:rPr>
          <w:rFonts w:ascii="宋体" w:hAnsi="宋体"/>
          <w:b/>
          <w:color w:val="auto"/>
          <w:sz w:val="28"/>
          <w:szCs w:val="28"/>
          <w:highlight w:val="none"/>
        </w:rPr>
      </w:pPr>
    </w:p>
    <w:p w14:paraId="38A958E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271CD73B">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496E529C">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公告（项目编号）</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726A79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15E3B65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w:t>
      </w:r>
    </w:p>
    <w:p w14:paraId="1970FEB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三、本项目竞价公告、竞价方的竞价报价文件对我公司具有同等约束力。</w:t>
      </w:r>
    </w:p>
    <w:p w14:paraId="739BF34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四、获得竞价供货资格后若无法按约定条款履行义务，贵方有权取消我方竞价供货资格，</w:t>
      </w:r>
      <w:r>
        <w:rPr>
          <w:rFonts w:hint="eastAsia" w:ascii="宋体" w:hAnsi="宋体"/>
          <w:color w:val="auto"/>
          <w:sz w:val="24"/>
          <w:highlight w:val="none"/>
          <w:lang w:eastAsia="zh-CN"/>
        </w:rPr>
        <w:t>接受</w:t>
      </w:r>
      <w:r>
        <w:rPr>
          <w:rFonts w:hint="eastAsia" w:ascii="宋体" w:hAnsi="宋体"/>
          <w:color w:val="auto"/>
          <w:sz w:val="24"/>
          <w:highlight w:val="none"/>
        </w:rPr>
        <w:t>有关法规对我方的处罚。</w:t>
      </w:r>
    </w:p>
    <w:p w14:paraId="6D8C419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21D5999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5C263C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1E1B2081">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53BD27">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153896A6">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9F26FA3">
      <w:pPr>
        <w:rPr>
          <w:rFonts w:ascii="宋体" w:hAnsi="宋体"/>
          <w:b/>
          <w:color w:val="auto"/>
          <w:sz w:val="24"/>
          <w:szCs w:val="24"/>
          <w:highlight w:val="none"/>
        </w:rPr>
      </w:pPr>
      <w:r>
        <w:rPr>
          <w:rFonts w:ascii="宋体" w:hAnsi="宋体" w:cs="宋体"/>
          <w:b/>
          <w:color w:val="auto"/>
          <w:kern w:val="0"/>
          <w:sz w:val="24"/>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14</w:t>
      </w:r>
      <w:r>
        <w:rPr>
          <w:rFonts w:hint="eastAsia" w:ascii="宋体" w:hAnsi="宋体"/>
          <w:b/>
          <w:color w:val="auto"/>
          <w:sz w:val="24"/>
          <w:szCs w:val="24"/>
          <w:highlight w:val="none"/>
        </w:rPr>
        <w:t>：</w:t>
      </w:r>
    </w:p>
    <w:p w14:paraId="619CE4A8">
      <w:pPr>
        <w:rPr>
          <w:rFonts w:ascii="宋体" w:hAnsi="宋体"/>
          <w:b/>
          <w:color w:val="auto"/>
          <w:sz w:val="24"/>
          <w:szCs w:val="24"/>
          <w:highlight w:val="none"/>
        </w:rPr>
      </w:pPr>
    </w:p>
    <w:p w14:paraId="59BAFEB4">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078B0A1D">
      <w:pPr>
        <w:spacing w:line="380" w:lineRule="exact"/>
        <w:rPr>
          <w:rFonts w:ascii="宋体" w:hAnsi="宋体"/>
          <w:color w:val="auto"/>
          <w:sz w:val="24"/>
          <w:szCs w:val="24"/>
          <w:highlight w:val="none"/>
        </w:rPr>
      </w:pPr>
    </w:p>
    <w:p w14:paraId="1F3C5429">
      <w:pPr>
        <w:spacing w:line="360" w:lineRule="exact"/>
        <w:rPr>
          <w:rFonts w:ascii="宋体" w:hAnsi="宋体"/>
          <w:color w:val="auto"/>
          <w:sz w:val="24"/>
          <w:szCs w:val="24"/>
          <w:highlight w:val="none"/>
        </w:rPr>
      </w:pPr>
    </w:p>
    <w:p w14:paraId="4BB7AE90">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45EA3173">
      <w:pPr>
        <w:spacing w:line="360" w:lineRule="exact"/>
        <w:rPr>
          <w:rFonts w:ascii="宋体" w:hAnsi="宋体"/>
          <w:color w:val="auto"/>
          <w:sz w:val="24"/>
          <w:szCs w:val="24"/>
          <w:highlight w:val="none"/>
        </w:rPr>
      </w:pPr>
    </w:p>
    <w:p w14:paraId="7EB75BBE">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5CD3528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28512FF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822C953">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59809302">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5FEDB3C6">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475B6B1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608B705">
      <w:pPr>
        <w:spacing w:line="360" w:lineRule="exact"/>
        <w:ind w:firstLine="472" w:firstLineChars="196"/>
        <w:rPr>
          <w:rFonts w:ascii="宋体" w:hAnsi="宋体"/>
          <w:b/>
          <w:color w:val="auto"/>
          <w:sz w:val="24"/>
          <w:szCs w:val="24"/>
          <w:highlight w:val="none"/>
        </w:rPr>
      </w:pPr>
    </w:p>
    <w:p w14:paraId="326F45A7">
      <w:pPr>
        <w:spacing w:line="360" w:lineRule="exact"/>
        <w:ind w:firstLine="472" w:firstLineChars="196"/>
        <w:rPr>
          <w:rFonts w:ascii="宋体" w:hAnsi="宋体"/>
          <w:b/>
          <w:color w:val="auto"/>
          <w:sz w:val="24"/>
          <w:szCs w:val="24"/>
          <w:highlight w:val="none"/>
        </w:rPr>
      </w:pPr>
    </w:p>
    <w:p w14:paraId="3784A3BA">
      <w:pPr>
        <w:spacing w:line="360" w:lineRule="exact"/>
        <w:ind w:firstLine="472" w:firstLineChars="196"/>
        <w:rPr>
          <w:rFonts w:ascii="宋体" w:hAnsi="宋体"/>
          <w:b/>
          <w:color w:val="auto"/>
          <w:sz w:val="24"/>
          <w:szCs w:val="24"/>
          <w:highlight w:val="none"/>
        </w:rPr>
      </w:pPr>
    </w:p>
    <w:p w14:paraId="4FF6F51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4A3D100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3546F03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A4ED4A1">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48FC75B7">
      <w:pPr>
        <w:spacing w:line="360" w:lineRule="exact"/>
        <w:ind w:firstLine="470" w:firstLineChars="196"/>
        <w:rPr>
          <w:rFonts w:ascii="宋体" w:hAnsi="宋体"/>
          <w:color w:val="auto"/>
          <w:kern w:val="0"/>
          <w:sz w:val="24"/>
          <w:szCs w:val="24"/>
          <w:highlight w:val="none"/>
        </w:rPr>
      </w:pPr>
    </w:p>
    <w:p w14:paraId="6B29BEE8">
      <w:pPr>
        <w:rPr>
          <w:rFonts w:ascii="宋体" w:hAnsi="宋体"/>
          <w:b/>
          <w:color w:val="auto"/>
          <w:sz w:val="24"/>
          <w:szCs w:val="24"/>
          <w:highlight w:val="none"/>
        </w:rPr>
      </w:pPr>
    </w:p>
    <w:p w14:paraId="3949972D">
      <w:pPr>
        <w:rPr>
          <w:rFonts w:ascii="宋体" w:hAnsi="宋体"/>
          <w:b/>
          <w:color w:val="auto"/>
          <w:sz w:val="24"/>
          <w:szCs w:val="24"/>
          <w:highlight w:val="none"/>
        </w:rPr>
      </w:pPr>
    </w:p>
    <w:p w14:paraId="638750F2">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26F5">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14:paraId="012A0C2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6A10">
    <w:pPr>
      <w:pStyle w:val="13"/>
      <w:framePr w:wrap="around" w:vAnchor="text" w:hAnchor="margin" w:xAlign="center" w:y="1"/>
      <w:rPr>
        <w:rStyle w:val="27"/>
      </w:rPr>
    </w:pPr>
    <w:r>
      <w:fldChar w:fldCharType="begin"/>
    </w:r>
    <w:r>
      <w:rPr>
        <w:rStyle w:val="27"/>
      </w:rPr>
      <w:instrText xml:space="preserve">PAGE  </w:instrText>
    </w:r>
    <w:r>
      <w:fldChar w:fldCharType="end"/>
    </w:r>
  </w:p>
  <w:p w14:paraId="1E36CBE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DD24">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14:paraId="0E4872C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6991">
    <w:pPr>
      <w:pStyle w:val="13"/>
      <w:framePr w:wrap="around" w:vAnchor="text" w:hAnchor="margin" w:xAlign="center" w:y="1"/>
      <w:rPr>
        <w:rStyle w:val="27"/>
      </w:rPr>
    </w:pPr>
    <w:r>
      <w:fldChar w:fldCharType="begin"/>
    </w:r>
    <w:r>
      <w:rPr>
        <w:rStyle w:val="27"/>
      </w:rPr>
      <w:instrText xml:space="preserve">PAGE  </w:instrText>
    </w:r>
    <w:r>
      <w:fldChar w:fldCharType="end"/>
    </w:r>
  </w:p>
  <w:p w14:paraId="3D309E2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45C13">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50</w:t>
    </w:r>
    <w:r>
      <w:fldChar w:fldCharType="end"/>
    </w:r>
  </w:p>
  <w:p w14:paraId="1DD48B3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76B5">
    <w:pPr>
      <w:pStyle w:val="15"/>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8A36">
    <w:pPr>
      <w:pStyle w:val="15"/>
    </w:pPr>
  </w:p>
  <w:p w14:paraId="507AC261">
    <w:pPr>
      <w:pStyle w:val="15"/>
      <w:jc w:val="left"/>
      <w:rPr>
        <w:sz w:val="21"/>
        <w:szCs w:val="21"/>
      </w:rPr>
    </w:pPr>
  </w:p>
  <w:p w14:paraId="3C3E3268">
    <w:pPr>
      <w:pStyle w:val="15"/>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w:t>
    </w:r>
    <w:r>
      <w:rPr>
        <w:rFonts w:hint="eastAsia"/>
        <w:b/>
        <w:bCs/>
        <w:sz w:val="21"/>
        <w:szCs w:val="21"/>
        <w:lang w:eastAsia="zh-CN"/>
      </w:rPr>
      <w:t>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7E83">
    <w:pPr>
      <w:pStyle w:val="15"/>
    </w:pPr>
  </w:p>
  <w:p w14:paraId="01C77211">
    <w:pPr>
      <w:pStyle w:val="15"/>
      <w:jc w:val="left"/>
      <w:rPr>
        <w:sz w:val="21"/>
        <w:szCs w:val="21"/>
      </w:rPr>
    </w:pPr>
  </w:p>
  <w:p w14:paraId="1B0AECFB">
    <w:pPr>
      <w:pStyle w:val="15"/>
      <w:jc w:val="left"/>
      <w:rPr>
        <w:sz w:val="21"/>
        <w:szCs w:val="21"/>
      </w:rPr>
    </w:pPr>
  </w:p>
  <w:p w14:paraId="3EAA5D37">
    <w:pPr>
      <w:pStyle w:val="15"/>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w:t>
    </w:r>
    <w:r>
      <w:rPr>
        <w:rFonts w:hint="eastAsia"/>
        <w:b/>
        <w:bCs/>
        <w:sz w:val="21"/>
        <w:szCs w:val="21"/>
        <w:lang w:eastAsia="zh-CN"/>
      </w:rPr>
      <w:t>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E5651"/>
    <w:multiLevelType w:val="multilevel"/>
    <w:tmpl w:val="0CDE5651"/>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05C5"/>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30B0"/>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B87C2D"/>
    <w:rsid w:val="01C95096"/>
    <w:rsid w:val="01CA0D5D"/>
    <w:rsid w:val="038A0525"/>
    <w:rsid w:val="03922352"/>
    <w:rsid w:val="04277401"/>
    <w:rsid w:val="04937815"/>
    <w:rsid w:val="052C45CD"/>
    <w:rsid w:val="06192B0A"/>
    <w:rsid w:val="06632A9C"/>
    <w:rsid w:val="069218BB"/>
    <w:rsid w:val="06E97230"/>
    <w:rsid w:val="070B05AA"/>
    <w:rsid w:val="07181661"/>
    <w:rsid w:val="0ABB7E8D"/>
    <w:rsid w:val="0D5A0704"/>
    <w:rsid w:val="0E853195"/>
    <w:rsid w:val="0EC321A2"/>
    <w:rsid w:val="109401F4"/>
    <w:rsid w:val="10B244F7"/>
    <w:rsid w:val="10E23DE8"/>
    <w:rsid w:val="11E87B83"/>
    <w:rsid w:val="12161635"/>
    <w:rsid w:val="131D1F3C"/>
    <w:rsid w:val="134A2D18"/>
    <w:rsid w:val="13D15746"/>
    <w:rsid w:val="14355D16"/>
    <w:rsid w:val="145A0F10"/>
    <w:rsid w:val="145D7868"/>
    <w:rsid w:val="1568787A"/>
    <w:rsid w:val="15D66E83"/>
    <w:rsid w:val="16171F6B"/>
    <w:rsid w:val="16311305"/>
    <w:rsid w:val="16852592"/>
    <w:rsid w:val="17370863"/>
    <w:rsid w:val="173E179C"/>
    <w:rsid w:val="17CA4A42"/>
    <w:rsid w:val="18664544"/>
    <w:rsid w:val="189B5FA1"/>
    <w:rsid w:val="18EA7141"/>
    <w:rsid w:val="18EB606F"/>
    <w:rsid w:val="1A1C06C8"/>
    <w:rsid w:val="1ABA620D"/>
    <w:rsid w:val="1B0360CA"/>
    <w:rsid w:val="1B615F38"/>
    <w:rsid w:val="1B9668B0"/>
    <w:rsid w:val="1BA5725A"/>
    <w:rsid w:val="1BD92809"/>
    <w:rsid w:val="1BF9747E"/>
    <w:rsid w:val="1D796AC8"/>
    <w:rsid w:val="1F0428E3"/>
    <w:rsid w:val="203F4877"/>
    <w:rsid w:val="2055503B"/>
    <w:rsid w:val="20F04544"/>
    <w:rsid w:val="217B6FC0"/>
    <w:rsid w:val="22B534D5"/>
    <w:rsid w:val="22C95B68"/>
    <w:rsid w:val="243F55A8"/>
    <w:rsid w:val="25EF36B8"/>
    <w:rsid w:val="26E20C6F"/>
    <w:rsid w:val="27C07913"/>
    <w:rsid w:val="281F2C62"/>
    <w:rsid w:val="286128D0"/>
    <w:rsid w:val="2A421596"/>
    <w:rsid w:val="2A5F013A"/>
    <w:rsid w:val="2ABE32B2"/>
    <w:rsid w:val="2C8F08B5"/>
    <w:rsid w:val="2D066C49"/>
    <w:rsid w:val="2E057DE6"/>
    <w:rsid w:val="2E264294"/>
    <w:rsid w:val="2F8F217B"/>
    <w:rsid w:val="318B6ED9"/>
    <w:rsid w:val="32185B81"/>
    <w:rsid w:val="32C27680"/>
    <w:rsid w:val="37CD002A"/>
    <w:rsid w:val="38111414"/>
    <w:rsid w:val="3A862465"/>
    <w:rsid w:val="3BB06F30"/>
    <w:rsid w:val="3DB92773"/>
    <w:rsid w:val="3EB46A71"/>
    <w:rsid w:val="3F915E8F"/>
    <w:rsid w:val="400A7DA8"/>
    <w:rsid w:val="4364748E"/>
    <w:rsid w:val="43B42803"/>
    <w:rsid w:val="44983786"/>
    <w:rsid w:val="44CD1324"/>
    <w:rsid w:val="45634A93"/>
    <w:rsid w:val="45D70F11"/>
    <w:rsid w:val="467C6B0A"/>
    <w:rsid w:val="47277384"/>
    <w:rsid w:val="495E28B5"/>
    <w:rsid w:val="4B411CA5"/>
    <w:rsid w:val="4C7A721B"/>
    <w:rsid w:val="4D4D1254"/>
    <w:rsid w:val="4E9E6F07"/>
    <w:rsid w:val="4F8B2F4F"/>
    <w:rsid w:val="5002435A"/>
    <w:rsid w:val="50E05111"/>
    <w:rsid w:val="51736A80"/>
    <w:rsid w:val="585E0A21"/>
    <w:rsid w:val="5A541565"/>
    <w:rsid w:val="5B8D2953"/>
    <w:rsid w:val="5BDB094C"/>
    <w:rsid w:val="5DC23150"/>
    <w:rsid w:val="5E462F72"/>
    <w:rsid w:val="5EAD0953"/>
    <w:rsid w:val="5EDF5040"/>
    <w:rsid w:val="5F761962"/>
    <w:rsid w:val="5F840A33"/>
    <w:rsid w:val="61A44D62"/>
    <w:rsid w:val="642134D3"/>
    <w:rsid w:val="642B65D4"/>
    <w:rsid w:val="64F64687"/>
    <w:rsid w:val="652A30AC"/>
    <w:rsid w:val="656F3F58"/>
    <w:rsid w:val="67A27F96"/>
    <w:rsid w:val="67B55CA7"/>
    <w:rsid w:val="692175FE"/>
    <w:rsid w:val="6A6812EF"/>
    <w:rsid w:val="6B2E02FC"/>
    <w:rsid w:val="6BF775D3"/>
    <w:rsid w:val="6C387C14"/>
    <w:rsid w:val="6C801715"/>
    <w:rsid w:val="6CB2505C"/>
    <w:rsid w:val="6CD97FB6"/>
    <w:rsid w:val="6CDF2779"/>
    <w:rsid w:val="6D220569"/>
    <w:rsid w:val="6EC14BA8"/>
    <w:rsid w:val="6EF536E7"/>
    <w:rsid w:val="6F44559B"/>
    <w:rsid w:val="6F9371DD"/>
    <w:rsid w:val="70DD149E"/>
    <w:rsid w:val="713F76D7"/>
    <w:rsid w:val="71F633B8"/>
    <w:rsid w:val="72BC0C11"/>
    <w:rsid w:val="72D03A16"/>
    <w:rsid w:val="72ED4D68"/>
    <w:rsid w:val="73656CD9"/>
    <w:rsid w:val="73B11FBF"/>
    <w:rsid w:val="74075459"/>
    <w:rsid w:val="743C349A"/>
    <w:rsid w:val="74564D79"/>
    <w:rsid w:val="75BF06F9"/>
    <w:rsid w:val="75EA150D"/>
    <w:rsid w:val="76ED2FFA"/>
    <w:rsid w:val="77127BAD"/>
    <w:rsid w:val="77C2575D"/>
    <w:rsid w:val="77CA3F70"/>
    <w:rsid w:val="77CE68FD"/>
    <w:rsid w:val="79AB2F98"/>
    <w:rsid w:val="7A036672"/>
    <w:rsid w:val="7B473E1F"/>
    <w:rsid w:val="7C223F19"/>
    <w:rsid w:val="7C605491"/>
    <w:rsid w:val="7CCA19D6"/>
    <w:rsid w:val="7E6054A8"/>
    <w:rsid w:val="7E7523DA"/>
    <w:rsid w:val="7E902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jc w:val="center"/>
      <w:outlineLvl w:val="0"/>
    </w:pPr>
    <w:rPr>
      <w:rFonts w:eastAsia="黑体"/>
      <w:b/>
      <w:kern w:val="44"/>
      <w:sz w:val="36"/>
    </w:rPr>
  </w:style>
  <w:style w:type="paragraph" w:styleId="3">
    <w:name w:val="heading 3"/>
    <w:basedOn w:val="1"/>
    <w:next w:val="1"/>
    <w:link w:val="31"/>
    <w:qFormat/>
    <w:uiPriority w:val="0"/>
    <w:pPr>
      <w:spacing w:before="260" w:after="260" w:line="413" w:lineRule="auto"/>
      <w:outlineLvl w:val="2"/>
    </w:pPr>
    <w:rPr>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32"/>
    <w:semiHidden/>
    <w:qFormat/>
    <w:uiPriority w:val="0"/>
    <w:pPr>
      <w:shd w:val="clear" w:color="auto" w:fill="000080"/>
    </w:pPr>
  </w:style>
  <w:style w:type="paragraph" w:styleId="6">
    <w:name w:val="annotation text"/>
    <w:basedOn w:val="1"/>
    <w:link w:val="33"/>
    <w:qFormat/>
    <w:uiPriority w:val="0"/>
    <w:pPr>
      <w:jc w:val="left"/>
    </w:pPr>
  </w:style>
  <w:style w:type="paragraph" w:styleId="7">
    <w:name w:val="Closing"/>
    <w:basedOn w:val="1"/>
    <w:link w:val="34"/>
    <w:unhideWhenUsed/>
    <w:qFormat/>
    <w:uiPriority w:val="0"/>
    <w:pPr>
      <w:ind w:left="100" w:leftChars="2100"/>
    </w:pPr>
    <w:rPr>
      <w:szCs w:val="24"/>
    </w:rPr>
  </w:style>
  <w:style w:type="paragraph" w:styleId="8">
    <w:name w:val="Body Text"/>
    <w:basedOn w:val="1"/>
    <w:next w:val="1"/>
    <w:link w:val="35"/>
    <w:qFormat/>
    <w:uiPriority w:val="0"/>
    <w:pPr>
      <w:spacing w:after="120"/>
    </w:pPr>
  </w:style>
  <w:style w:type="paragraph" w:styleId="9">
    <w:name w:val="Body Text Indent"/>
    <w:basedOn w:val="1"/>
    <w:next w:val="10"/>
    <w:link w:val="37"/>
    <w:qFormat/>
    <w:uiPriority w:val="99"/>
    <w:pPr>
      <w:ind w:firstLine="645"/>
    </w:pPr>
    <w:rPr>
      <w:rFonts w:ascii="楷体_GB2312" w:eastAsia="楷体_GB2312"/>
      <w:sz w:val="32"/>
    </w:rPr>
  </w:style>
  <w:style w:type="paragraph" w:customStyle="1" w:styleId="10">
    <w:name w:val="样式 标题 3 + (中文) 黑体 小四 非加粗 段前: 7.8 磅 段后: 0 磅 行距: 固定值 20 磅"/>
    <w:basedOn w:val="3"/>
    <w:qFormat/>
    <w:uiPriority w:val="0"/>
    <w:pPr>
      <w:spacing w:before="0" w:after="0" w:line="400" w:lineRule="exact"/>
    </w:pPr>
    <w:rPr>
      <w:rFonts w:eastAsia="黑体" w:cs="宋体"/>
      <w:kern w:val="2"/>
      <w:sz w:val="24"/>
      <w:szCs w:val="20"/>
    </w:rPr>
  </w:style>
  <w:style w:type="paragraph" w:styleId="11">
    <w:name w:val="Plain Text"/>
    <w:basedOn w:val="1"/>
    <w:link w:val="36"/>
    <w:qFormat/>
    <w:uiPriority w:val="0"/>
    <w:rPr>
      <w:rFonts w:ascii="宋体" w:hAnsi="Courier New"/>
    </w:rPr>
  </w:style>
  <w:style w:type="paragraph" w:styleId="12">
    <w:name w:val="Balloon Text"/>
    <w:basedOn w:val="1"/>
    <w:link w:val="38"/>
    <w:qFormat/>
    <w:uiPriority w:val="0"/>
    <w:rPr>
      <w:sz w:val="18"/>
      <w:szCs w:val="18"/>
    </w:rPr>
  </w:style>
  <w:style w:type="paragraph" w:styleId="13">
    <w:name w:val="footer"/>
    <w:basedOn w:val="1"/>
    <w:link w:val="39"/>
    <w:qFormat/>
    <w:uiPriority w:val="0"/>
    <w:pPr>
      <w:tabs>
        <w:tab w:val="center" w:pos="4153"/>
        <w:tab w:val="right" w:pos="8306"/>
      </w:tabs>
      <w:snapToGrid w:val="0"/>
      <w:jc w:val="left"/>
    </w:pPr>
    <w:rPr>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41"/>
    <w:qFormat/>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6"/>
    <w:next w:val="6"/>
    <w:link w:val="42"/>
    <w:qFormat/>
    <w:uiPriority w:val="0"/>
    <w:rPr>
      <w:b/>
      <w:bCs/>
    </w:rPr>
  </w:style>
  <w:style w:type="paragraph" w:styleId="20">
    <w:name w:val="Body Text First Indent"/>
    <w:basedOn w:val="8"/>
    <w:next w:val="1"/>
    <w:unhideWhenUsed/>
    <w:qFormat/>
    <w:uiPriority w:val="99"/>
    <w:pPr>
      <w:ind w:firstLine="420" w:firstLineChars="100"/>
    </w:pPr>
    <w:rPr>
      <w:rFonts w:ascii="Calibri" w:hAnsi="Calibri" w:eastAsia="宋体"/>
      <w:kern w:val="0"/>
      <w:sz w:val="20"/>
      <w:szCs w:val="20"/>
    </w:rPr>
  </w:style>
  <w:style w:type="paragraph" w:styleId="21">
    <w:name w:val="Body Text First Indent 2"/>
    <w:basedOn w:val="9"/>
    <w:next w:val="22"/>
    <w:link w:val="43"/>
    <w:qFormat/>
    <w:uiPriority w:val="99"/>
    <w:pPr>
      <w:spacing w:after="120"/>
      <w:ind w:left="420" w:leftChars="200" w:firstLine="420" w:firstLineChars="200"/>
    </w:pPr>
    <w:rPr>
      <w:rFonts w:ascii="Times New Roman" w:eastAsia="宋体"/>
      <w:sz w:val="21"/>
      <w:szCs w:val="24"/>
    </w:rPr>
  </w:style>
  <w:style w:type="paragraph" w:customStyle="1" w:styleId="22">
    <w:name w:val="正文格式"/>
    <w:basedOn w:val="1"/>
    <w:qFormat/>
    <w:uiPriority w:val="0"/>
    <w:pPr>
      <w:ind w:firstLine="200" w:firstLineChars="200"/>
    </w:pPr>
    <w:rPr>
      <w:rFonts w:ascii="宋体" w:hAnsi="宋体" w:cs="宋体"/>
      <w:sz w:val="28"/>
      <w:szCs w:val="28"/>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标题 1 Char"/>
    <w:basedOn w:val="25"/>
    <w:link w:val="2"/>
    <w:qFormat/>
    <w:uiPriority w:val="0"/>
    <w:rPr>
      <w:rFonts w:ascii="Times New Roman" w:hAnsi="Times New Roman" w:eastAsia="黑体" w:cs="Times New Roman"/>
      <w:b/>
      <w:kern w:val="44"/>
      <w:sz w:val="36"/>
      <w:szCs w:val="20"/>
    </w:rPr>
  </w:style>
  <w:style w:type="character" w:customStyle="1" w:styleId="31">
    <w:name w:val="标题 3 Char"/>
    <w:basedOn w:val="25"/>
    <w:link w:val="3"/>
    <w:qFormat/>
    <w:uiPriority w:val="0"/>
    <w:rPr>
      <w:rFonts w:ascii="Times New Roman" w:hAnsi="Times New Roman" w:eastAsia="黑体" w:cs="Times New Roman"/>
      <w:b/>
      <w:kern w:val="44"/>
      <w:sz w:val="32"/>
      <w:szCs w:val="20"/>
    </w:rPr>
  </w:style>
  <w:style w:type="character" w:customStyle="1" w:styleId="32">
    <w:name w:val="文档结构图 Char"/>
    <w:basedOn w:val="25"/>
    <w:link w:val="5"/>
    <w:semiHidden/>
    <w:qFormat/>
    <w:uiPriority w:val="0"/>
    <w:rPr>
      <w:rFonts w:ascii="Times New Roman" w:hAnsi="Times New Roman" w:eastAsia="宋体" w:cs="Times New Roman"/>
      <w:szCs w:val="20"/>
      <w:shd w:val="clear" w:color="auto" w:fill="000080"/>
    </w:rPr>
  </w:style>
  <w:style w:type="character" w:customStyle="1" w:styleId="33">
    <w:name w:val="批注文字 Char"/>
    <w:basedOn w:val="25"/>
    <w:link w:val="6"/>
    <w:qFormat/>
    <w:uiPriority w:val="0"/>
    <w:rPr>
      <w:rFonts w:ascii="Times New Roman" w:hAnsi="Times New Roman" w:eastAsia="宋体" w:cs="Times New Roman"/>
      <w:szCs w:val="20"/>
    </w:rPr>
  </w:style>
  <w:style w:type="character" w:customStyle="1" w:styleId="34">
    <w:name w:val="结束语 Char"/>
    <w:basedOn w:val="25"/>
    <w:link w:val="7"/>
    <w:qFormat/>
    <w:uiPriority w:val="0"/>
    <w:rPr>
      <w:rFonts w:ascii="Times New Roman" w:hAnsi="Times New Roman" w:eastAsia="宋体" w:cs="Times New Roman"/>
      <w:szCs w:val="24"/>
    </w:rPr>
  </w:style>
  <w:style w:type="character" w:customStyle="1" w:styleId="35">
    <w:name w:val="正文文本 Char"/>
    <w:basedOn w:val="25"/>
    <w:link w:val="8"/>
    <w:qFormat/>
    <w:uiPriority w:val="0"/>
    <w:rPr>
      <w:rFonts w:ascii="Times New Roman" w:hAnsi="Times New Roman" w:eastAsia="宋体" w:cs="Times New Roman"/>
      <w:szCs w:val="20"/>
    </w:rPr>
  </w:style>
  <w:style w:type="character" w:customStyle="1" w:styleId="36">
    <w:name w:val="纯文本 Char"/>
    <w:basedOn w:val="25"/>
    <w:link w:val="11"/>
    <w:qFormat/>
    <w:uiPriority w:val="0"/>
    <w:rPr>
      <w:rFonts w:ascii="宋体" w:hAnsi="Courier New" w:eastAsia="宋体" w:cs="Times New Roman"/>
      <w:szCs w:val="20"/>
    </w:rPr>
  </w:style>
  <w:style w:type="character" w:customStyle="1" w:styleId="37">
    <w:name w:val="正文文本缩进 Char"/>
    <w:basedOn w:val="25"/>
    <w:link w:val="9"/>
    <w:qFormat/>
    <w:uiPriority w:val="99"/>
    <w:rPr>
      <w:rFonts w:ascii="楷体_GB2312" w:hAnsi="Times New Roman" w:eastAsia="楷体_GB2312" w:cs="Times New Roman"/>
      <w:sz w:val="32"/>
      <w:szCs w:val="20"/>
    </w:rPr>
  </w:style>
  <w:style w:type="character" w:customStyle="1" w:styleId="38">
    <w:name w:val="批注框文本 Char"/>
    <w:basedOn w:val="25"/>
    <w:link w:val="12"/>
    <w:qFormat/>
    <w:uiPriority w:val="0"/>
    <w:rPr>
      <w:rFonts w:ascii="Times New Roman" w:hAnsi="Times New Roman" w:eastAsia="宋体" w:cs="Times New Roman"/>
      <w:sz w:val="18"/>
      <w:szCs w:val="18"/>
    </w:rPr>
  </w:style>
  <w:style w:type="character" w:customStyle="1" w:styleId="39">
    <w:name w:val="页脚 Char"/>
    <w:basedOn w:val="25"/>
    <w:link w:val="13"/>
    <w:qFormat/>
    <w:uiPriority w:val="0"/>
    <w:rPr>
      <w:rFonts w:ascii="Times New Roman" w:hAnsi="Times New Roman" w:eastAsia="宋体" w:cs="Times New Roman"/>
      <w:sz w:val="18"/>
      <w:szCs w:val="18"/>
    </w:rPr>
  </w:style>
  <w:style w:type="character" w:customStyle="1" w:styleId="40">
    <w:name w:val="页眉 Char"/>
    <w:basedOn w:val="25"/>
    <w:link w:val="15"/>
    <w:qFormat/>
    <w:uiPriority w:val="0"/>
    <w:rPr>
      <w:rFonts w:ascii="Times New Roman" w:hAnsi="Times New Roman" w:eastAsia="宋体" w:cs="Times New Roman"/>
      <w:sz w:val="18"/>
      <w:szCs w:val="18"/>
    </w:rPr>
  </w:style>
  <w:style w:type="character" w:customStyle="1" w:styleId="41">
    <w:name w:val="正文文本 2 Char"/>
    <w:basedOn w:val="25"/>
    <w:link w:val="17"/>
    <w:qFormat/>
    <w:uiPriority w:val="0"/>
    <w:rPr>
      <w:rFonts w:ascii="Times New Roman" w:hAnsi="Times New Roman" w:eastAsia="宋体" w:cs="Times New Roman"/>
      <w:szCs w:val="20"/>
    </w:rPr>
  </w:style>
  <w:style w:type="character" w:customStyle="1" w:styleId="42">
    <w:name w:val="批注主题 Char"/>
    <w:basedOn w:val="33"/>
    <w:link w:val="19"/>
    <w:qFormat/>
    <w:uiPriority w:val="0"/>
    <w:rPr>
      <w:b/>
      <w:bCs/>
    </w:rPr>
  </w:style>
  <w:style w:type="character" w:customStyle="1" w:styleId="43">
    <w:name w:val="正文首行缩进 2 Char"/>
    <w:basedOn w:val="37"/>
    <w:link w:val="21"/>
    <w:qFormat/>
    <w:uiPriority w:val="99"/>
    <w:rPr>
      <w:rFonts w:ascii="Times New Roman" w:eastAsia="宋体"/>
      <w:szCs w:val="24"/>
    </w:rPr>
  </w:style>
  <w:style w:type="character" w:customStyle="1" w:styleId="44">
    <w:name w:val="text11"/>
    <w:qFormat/>
    <w:uiPriority w:val="0"/>
    <w:rPr>
      <w:rFonts w:hint="default" w:ascii="Verdana" w:hAnsi="Verdana"/>
      <w:color w:val="4E4E4E"/>
      <w:sz w:val="18"/>
      <w:szCs w:val="18"/>
    </w:rPr>
  </w:style>
  <w:style w:type="paragraph" w:customStyle="1" w:styleId="45">
    <w:name w:val="Char Char14"/>
    <w:basedOn w:val="5"/>
    <w:qFormat/>
    <w:uiPriority w:val="0"/>
    <w:pPr>
      <w:adjustRightInd w:val="0"/>
      <w:snapToGrid w:val="0"/>
      <w:spacing w:line="360" w:lineRule="auto"/>
    </w:pPr>
  </w:style>
  <w:style w:type="paragraph" w:customStyle="1" w:styleId="46">
    <w:name w:val="样式3"/>
    <w:basedOn w:val="11"/>
    <w:qFormat/>
    <w:uiPriority w:val="0"/>
    <w:pPr>
      <w:spacing w:line="0" w:lineRule="atLeast"/>
      <w:outlineLvl w:val="0"/>
    </w:pPr>
    <w:rPr>
      <w:sz w:val="28"/>
    </w:rPr>
  </w:style>
  <w:style w:type="paragraph" w:customStyle="1" w:styleId="47">
    <w:name w:val="Char1 Char Char Char Char Char Char"/>
    <w:basedOn w:val="1"/>
    <w:qFormat/>
    <w:uiPriority w:val="0"/>
    <w:rPr>
      <w:rFonts w:ascii="Tahoma" w:hAnsi="Tahoma"/>
      <w:sz w:val="24"/>
    </w:rPr>
  </w:style>
  <w:style w:type="paragraph" w:customStyle="1" w:styleId="48">
    <w:name w:val="样式2"/>
    <w:basedOn w:val="16"/>
    <w:qFormat/>
    <w:uiPriority w:val="0"/>
  </w:style>
  <w:style w:type="paragraph" w:customStyle="1" w:styleId="49">
    <w:name w:val="标准"/>
    <w:basedOn w:val="1"/>
    <w:qFormat/>
    <w:uiPriority w:val="0"/>
    <w:pPr>
      <w:spacing w:line="360" w:lineRule="auto"/>
      <w:ind w:firstLine="200" w:firstLineChars="200"/>
    </w:pPr>
    <w:rPr>
      <w:rFonts w:cs="宋体"/>
    </w:rPr>
  </w:style>
  <w:style w:type="paragraph" w:customStyle="1" w:styleId="50">
    <w:name w:val="列表段落"/>
    <w:basedOn w:val="1"/>
    <w:qFormat/>
    <w:uiPriority w:val="34"/>
    <w:pPr>
      <w:ind w:firstLine="420" w:firstLineChars="200"/>
    </w:pPr>
    <w:rPr>
      <w:rFonts w:ascii="Calibri" w:hAnsi="Calibri"/>
      <w:szCs w:val="22"/>
    </w:rPr>
  </w:style>
  <w:style w:type="paragraph" w:customStyle="1" w:styleId="51">
    <w:name w:val="列表段落1"/>
    <w:basedOn w:val="1"/>
    <w:qFormat/>
    <w:uiPriority w:val="0"/>
    <w:pPr>
      <w:ind w:firstLine="420" w:firstLineChars="200"/>
    </w:pPr>
    <w:rPr>
      <w:rFonts w:cs="黑体"/>
      <w:szCs w:val="22"/>
    </w:rPr>
  </w:style>
  <w:style w:type="paragraph" w:customStyle="1" w:styleId="5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qFormat/>
    <w:uiPriority w:val="0"/>
    <w:rPr>
      <w:rFonts w:hint="eastAsia" w:ascii="Calibri" w:hAnsi="Calibri" w:eastAsia="宋体" w:cs="Times New Roman"/>
      <w:lang w:val="en-US" w:eastAsia="zh-CN" w:bidi="ar-SA"/>
    </w:rPr>
  </w:style>
  <w:style w:type="paragraph" w:customStyle="1" w:styleId="5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BodyText"/>
    <w:basedOn w:val="1"/>
    <w:next w:val="56"/>
    <w:qFormat/>
    <w:uiPriority w:val="0"/>
    <w:pPr>
      <w:spacing w:after="120"/>
      <w:jc w:val="both"/>
      <w:textAlignment w:val="baseline"/>
    </w:pPr>
  </w:style>
  <w:style w:type="paragraph" w:customStyle="1" w:styleId="56">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57">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17006</Words>
  <Characters>17674</Characters>
  <Lines>168</Lines>
  <Paragraphs>47</Paragraphs>
  <TotalTime>7</TotalTime>
  <ScaleCrop>false</ScaleCrop>
  <LinksUpToDate>false</LinksUpToDate>
  <CharactersWithSpaces>18387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2025-06-13T09:30:00Z</cp:lastPrinted>
  <dcterms:modified xsi:type="dcterms:W3CDTF">2025-07-15T01:36:27Z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940D18CDA6404167B988F7F5F54056CC_13</vt:lpwstr>
  </property>
  <property fmtid="{D5CDD505-2E9C-101B-9397-08002B2CF9AE}" pid="4" name="KSOTemplateDocerSaveRecord">
    <vt:lpwstr>eyJoZGlkIjoiMDI4ZjBmNmEwZjJjZTAwYzRjMGQ3ZTEwNGM3ODIzYjUiLCJ1c2VySWQiOiIxNzIwMzE4MDAzIn0=</vt:lpwstr>
  </property>
</Properties>
</file>